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F9296">
      <w:pPr>
        <w:pStyle w:val="2"/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附件三</w:t>
      </w:r>
    </w:p>
    <w:p w14:paraId="1B1DEFB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重病大病慢病范围</w:t>
      </w:r>
    </w:p>
    <w:p w14:paraId="48E2DE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left="0" w:leftChars="0" w:right="0" w:rightChars="0" w:firstLine="640" w:firstLineChars="200"/>
        <w:jc w:val="left"/>
        <w:textAlignment w:val="bottom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重特大疾病病种是指儿童急性白血病和先天性心脏病、儿童淋巴瘤、终末期肾病、妇女宫颈癌、乳腺癌、重度精神疾病、艾滋病机会性感染、耐多药肺结核、肺癌、食道癌、胃癌、结肠癌、直肠癌、慢性粒细胞白血病、急性心肌梗塞、脑梗死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(生活起居无法自理卧床）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、血友病、I型糖尿病、甲亢、唇腭裂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 w:color="auto"/>
        </w:rPr>
        <w:t>器官移植（不包括器官费用）地中海贫血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以及医保部门认定应纳入重特大疾病范围的其他疾病。</w:t>
      </w:r>
    </w:p>
    <w:p w14:paraId="7E2907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napToGrid/>
        <w:spacing w:before="0" w:beforeLines="0" w:beforeAutospacing="0" w:after="0" w:afterLines="0" w:afterAutospacing="0" w:line="560" w:lineRule="exact"/>
        <w:ind w:right="0" w:rightChars="0" w:firstLine="640" w:firstLineChars="200"/>
        <w:outlineLvl w:val="9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慢性疾病是指糖尿病（有合并症）、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</w:rPr>
        <w:t>高血压Ⅲ级（合并靶器官损害）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</w:rPr>
        <w:t>慢性肾功能衰竭及尿毒症透析治疗、肾移植手术后的抗排异治疗、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肝硬化功能失代偿期、脑卒中后遗症、处于缓解期或巩固期精神分裂症、股骨头坏死、癫痫、帕金森病，类风湿性关节炎、慢性阻塞性肺气肿及肺心病、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</w:rPr>
        <w:t>抑郁狂躁症、慢性乙型肝炎、肺结核、冠心病及手术后期治疗、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</w:rPr>
        <w:t>系统性红斑狼疮、股骨头坏死、脑梗塞、银屑病、过敏性紫癜、结节病、重度神经性皮炎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 w:color="auto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布病、耐多药性结核病及医保部门认定应纳入慢性疾病范围的其他疾病。</w:t>
      </w:r>
    </w:p>
    <w:p w14:paraId="4D081D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mZjZmZmIyMjFhZDBiMzJlMDlkMDRhNGU5YTRhZTkifQ=="/>
  </w:docVars>
  <w:rsids>
    <w:rsidRoot w:val="366D1971"/>
    <w:rsid w:val="11075C37"/>
    <w:rsid w:val="366D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35"/>
    <w:rPr>
      <w:rFonts w:ascii="Arial" w:hAnsi="Arial" w:eastAsia="黑体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412</Words>
  <Characters>412</Characters>
  <Lines>0</Lines>
  <Paragraphs>0</Paragraphs>
  <TotalTime>0</TotalTime>
  <ScaleCrop>false</ScaleCrop>
  <LinksUpToDate>false</LinksUpToDate>
  <CharactersWithSpaces>413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2024-06-26T07:35:00Z</dcterms:created>
  <dc:creator>NeRiTu</dc:creator>
  <cp:lastModifiedBy>moon</cp:lastModifiedBy>
  <dcterms:modified xsi:type="dcterms:W3CDTF">2024-08-07T06:46:27Z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A8C4AD0D4C57491CA68216C90BEC2A05_11</vt:lpwstr>
  </property>
</Properties>
</file>