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348BE9">
      <w:pPr>
        <w:keepNext w:val="0"/>
        <w:keepLines w:val="0"/>
        <w:pageBreakBefore w:val="0"/>
        <w:widowControl/>
        <w:kinsoku/>
        <w:wordWrap/>
        <w:overflowPunct/>
        <w:topLinePunct w:val="0"/>
        <w:autoSpaceDE/>
        <w:autoSpaceDN/>
        <w:bidi w:val="0"/>
        <w:adjustRightInd w:val="0"/>
        <w:snapToGrid w:val="0"/>
        <w:spacing w:after="0" w:line="600" w:lineRule="exact"/>
        <w:jc w:val="center"/>
        <w:textAlignment w:val="auto"/>
        <w:rPr>
          <w:rFonts w:hint="eastAsia" w:ascii="方正小标宋简体" w:hAnsi="方正小标宋简体" w:eastAsia="方正小标宋简体" w:cs="方正小标宋简体"/>
          <w:sz w:val="42"/>
          <w:szCs w:val="42"/>
        </w:rPr>
      </w:pPr>
      <w:r>
        <w:rPr>
          <w:rFonts w:hint="eastAsia" w:ascii="方正小标宋简体" w:hAnsi="方正小标宋简体" w:eastAsia="方正小标宋简体" w:cs="方正小标宋简体"/>
          <w:sz w:val="42"/>
          <w:szCs w:val="42"/>
        </w:rPr>
        <w:t>陈巴尔虎旗人民政府关于202</w:t>
      </w:r>
      <w:r>
        <w:rPr>
          <w:rFonts w:hint="eastAsia" w:ascii="方正小标宋简体" w:hAnsi="方正小标宋简体" w:eastAsia="方正小标宋简体" w:cs="方正小标宋简体"/>
          <w:sz w:val="42"/>
          <w:szCs w:val="42"/>
          <w:lang w:val="en-US" w:eastAsia="zh-CN"/>
        </w:rPr>
        <w:t>2</w:t>
      </w:r>
      <w:r>
        <w:rPr>
          <w:rFonts w:hint="eastAsia" w:ascii="方正小标宋简体" w:hAnsi="方正小标宋简体" w:eastAsia="方正小标宋简体" w:cs="方正小标宋简体"/>
          <w:sz w:val="42"/>
          <w:szCs w:val="42"/>
        </w:rPr>
        <w:t>年国民经济</w:t>
      </w:r>
    </w:p>
    <w:p w14:paraId="4BB1BC2A">
      <w:pPr>
        <w:keepNext w:val="0"/>
        <w:keepLines w:val="0"/>
        <w:pageBreakBefore w:val="0"/>
        <w:widowControl/>
        <w:kinsoku/>
        <w:wordWrap/>
        <w:overflowPunct/>
        <w:topLinePunct w:val="0"/>
        <w:autoSpaceDE/>
        <w:autoSpaceDN/>
        <w:bidi w:val="0"/>
        <w:adjustRightInd w:val="0"/>
        <w:snapToGrid w:val="0"/>
        <w:spacing w:after="0" w:line="600" w:lineRule="exact"/>
        <w:jc w:val="center"/>
        <w:textAlignment w:val="auto"/>
        <w:rPr>
          <w:rFonts w:hint="eastAsia" w:ascii="方正小标宋简体" w:hAnsi="方正小标宋简体" w:eastAsia="方正小标宋简体" w:cs="方正小标宋简体"/>
          <w:sz w:val="42"/>
          <w:szCs w:val="42"/>
        </w:rPr>
      </w:pPr>
      <w:r>
        <w:rPr>
          <w:rFonts w:hint="eastAsia" w:ascii="方正小标宋简体" w:hAnsi="方正小标宋简体" w:eastAsia="方正小标宋简体" w:cs="方正小标宋简体"/>
          <w:sz w:val="42"/>
          <w:szCs w:val="42"/>
        </w:rPr>
        <w:t>和社会发展计划执行情况与202</w:t>
      </w:r>
      <w:r>
        <w:rPr>
          <w:rFonts w:hint="eastAsia" w:ascii="方正小标宋简体" w:hAnsi="方正小标宋简体" w:eastAsia="方正小标宋简体" w:cs="方正小标宋简体"/>
          <w:sz w:val="42"/>
          <w:szCs w:val="42"/>
          <w:lang w:val="en-US" w:eastAsia="zh-CN"/>
        </w:rPr>
        <w:t>3</w:t>
      </w:r>
      <w:r>
        <w:rPr>
          <w:rFonts w:hint="eastAsia" w:ascii="方正小标宋简体" w:hAnsi="方正小标宋简体" w:eastAsia="方正小标宋简体" w:cs="方正小标宋简体"/>
          <w:sz w:val="42"/>
          <w:szCs w:val="42"/>
        </w:rPr>
        <w:t>年国民</w:t>
      </w:r>
    </w:p>
    <w:p w14:paraId="7FAA336D">
      <w:pPr>
        <w:keepNext w:val="0"/>
        <w:keepLines w:val="0"/>
        <w:pageBreakBefore w:val="0"/>
        <w:widowControl/>
        <w:kinsoku/>
        <w:wordWrap/>
        <w:overflowPunct/>
        <w:topLinePunct w:val="0"/>
        <w:autoSpaceDE/>
        <w:autoSpaceDN/>
        <w:bidi w:val="0"/>
        <w:adjustRightInd w:val="0"/>
        <w:snapToGrid w:val="0"/>
        <w:spacing w:after="0" w:line="600" w:lineRule="exact"/>
        <w:jc w:val="center"/>
        <w:textAlignment w:val="auto"/>
        <w:rPr>
          <w:rFonts w:hint="eastAsia" w:ascii="方正小标宋简体" w:hAnsi="方正小标宋简体" w:eastAsia="方正小标宋简体" w:cs="方正小标宋简体"/>
          <w:sz w:val="42"/>
          <w:szCs w:val="42"/>
        </w:rPr>
      </w:pPr>
      <w:r>
        <w:rPr>
          <w:rFonts w:hint="eastAsia" w:ascii="方正小标宋简体" w:hAnsi="方正小标宋简体" w:eastAsia="方正小标宋简体" w:cs="方正小标宋简体"/>
          <w:sz w:val="42"/>
          <w:szCs w:val="42"/>
        </w:rPr>
        <w:t>经济和社会发展计划草案的报告</w:t>
      </w:r>
    </w:p>
    <w:p w14:paraId="20C4421B">
      <w:pPr>
        <w:pStyle w:val="2"/>
        <w:rPr>
          <w:rFonts w:hint="eastAsia"/>
        </w:rPr>
      </w:pPr>
    </w:p>
    <w:p w14:paraId="328625B7">
      <w:pPr>
        <w:keepNext w:val="0"/>
        <w:keepLines w:val="0"/>
        <w:pageBreakBefore w:val="0"/>
        <w:widowControl/>
        <w:tabs>
          <w:tab w:val="left" w:pos="4032"/>
        </w:tabs>
        <w:kinsoku/>
        <w:wordWrap/>
        <w:overflowPunct/>
        <w:topLinePunct w:val="0"/>
        <w:autoSpaceDE/>
        <w:autoSpaceDN/>
        <w:bidi w:val="0"/>
        <w:adjustRightInd w:val="0"/>
        <w:snapToGrid w:val="0"/>
        <w:spacing w:after="0" w:line="600" w:lineRule="exact"/>
        <w:jc w:val="center"/>
        <w:textAlignment w:val="auto"/>
        <w:rPr>
          <w:rFonts w:hint="eastAsia" w:ascii="楷体_GB2312" w:hAnsi="楷体" w:eastAsia="楷体_GB2312" w:cs="Times New Roman"/>
          <w:color w:val="auto"/>
          <w:spacing w:val="11"/>
          <w:kern w:val="0"/>
          <w:sz w:val="32"/>
          <w:szCs w:val="32"/>
        </w:rPr>
      </w:pPr>
      <w:r>
        <w:rPr>
          <w:rFonts w:hint="eastAsia" w:ascii="楷体_GB2312" w:hAnsi="楷体" w:eastAsia="楷体_GB2312" w:cs="Times New Roman"/>
          <w:color w:val="auto"/>
          <w:spacing w:val="11"/>
          <w:kern w:val="0"/>
          <w:sz w:val="32"/>
          <w:szCs w:val="32"/>
        </w:rPr>
        <w:t>——202</w:t>
      </w:r>
      <w:r>
        <w:rPr>
          <w:rFonts w:hint="eastAsia" w:ascii="楷体_GB2312" w:hAnsi="楷体" w:eastAsia="楷体_GB2312" w:cs="Times New Roman"/>
          <w:color w:val="auto"/>
          <w:spacing w:val="11"/>
          <w:kern w:val="0"/>
          <w:sz w:val="32"/>
          <w:szCs w:val="32"/>
          <w:lang w:val="en-US" w:eastAsia="zh-CN"/>
        </w:rPr>
        <w:t>3</w:t>
      </w:r>
      <w:r>
        <w:rPr>
          <w:rFonts w:hint="eastAsia" w:ascii="楷体_GB2312" w:hAnsi="楷体" w:eastAsia="楷体_GB2312" w:cs="Times New Roman"/>
          <w:color w:val="auto"/>
          <w:spacing w:val="11"/>
          <w:kern w:val="0"/>
          <w:sz w:val="32"/>
          <w:szCs w:val="32"/>
        </w:rPr>
        <w:t>年</w:t>
      </w:r>
      <w:r>
        <w:rPr>
          <w:rFonts w:hint="eastAsia" w:ascii="楷体_GB2312" w:hAnsi="楷体" w:eastAsia="楷体_GB2312" w:cs="Times New Roman"/>
          <w:color w:val="auto"/>
          <w:spacing w:val="11"/>
          <w:kern w:val="0"/>
          <w:sz w:val="32"/>
          <w:szCs w:val="32"/>
          <w:lang w:val="en-US" w:eastAsia="zh-CN"/>
        </w:rPr>
        <w:t>2</w:t>
      </w:r>
      <w:r>
        <w:rPr>
          <w:rFonts w:hint="eastAsia" w:ascii="楷体_GB2312" w:hAnsi="楷体" w:eastAsia="楷体_GB2312" w:cs="Times New Roman"/>
          <w:color w:val="auto"/>
          <w:spacing w:val="11"/>
          <w:kern w:val="0"/>
          <w:sz w:val="32"/>
          <w:szCs w:val="32"/>
        </w:rPr>
        <w:t>月</w:t>
      </w:r>
      <w:r>
        <w:rPr>
          <w:rFonts w:hint="eastAsia" w:ascii="楷体_GB2312" w:hAnsi="楷体" w:eastAsia="楷体_GB2312" w:cs="Times New Roman"/>
          <w:color w:val="auto"/>
          <w:spacing w:val="11"/>
          <w:kern w:val="0"/>
          <w:sz w:val="32"/>
          <w:szCs w:val="32"/>
          <w:lang w:val="en-US" w:eastAsia="zh-CN"/>
        </w:rPr>
        <w:t>9</w:t>
      </w:r>
      <w:r>
        <w:rPr>
          <w:rFonts w:hint="eastAsia" w:ascii="楷体_GB2312" w:hAnsi="楷体" w:eastAsia="楷体_GB2312" w:cs="Times New Roman"/>
          <w:color w:val="auto"/>
          <w:spacing w:val="11"/>
          <w:kern w:val="0"/>
          <w:sz w:val="32"/>
          <w:szCs w:val="32"/>
        </w:rPr>
        <w:t>日在陈巴尔虎旗第</w:t>
      </w:r>
      <w:r>
        <w:rPr>
          <w:rFonts w:hint="eastAsia" w:ascii="楷体_GB2312" w:hAnsi="楷体" w:eastAsia="楷体_GB2312" w:cs="Times New Roman"/>
          <w:color w:val="auto"/>
          <w:spacing w:val="11"/>
          <w:kern w:val="0"/>
          <w:sz w:val="32"/>
          <w:szCs w:val="32"/>
          <w:lang w:val="en-US" w:eastAsia="zh-CN"/>
        </w:rPr>
        <w:t>十六</w:t>
      </w:r>
      <w:r>
        <w:rPr>
          <w:rFonts w:hint="eastAsia" w:ascii="楷体_GB2312" w:hAnsi="楷体" w:eastAsia="楷体_GB2312" w:cs="Times New Roman"/>
          <w:color w:val="auto"/>
          <w:spacing w:val="11"/>
          <w:kern w:val="0"/>
          <w:sz w:val="32"/>
          <w:szCs w:val="32"/>
        </w:rPr>
        <w:t>届</w:t>
      </w:r>
    </w:p>
    <w:p w14:paraId="721C98BD">
      <w:pPr>
        <w:keepNext w:val="0"/>
        <w:keepLines w:val="0"/>
        <w:pageBreakBefore w:val="0"/>
        <w:widowControl/>
        <w:tabs>
          <w:tab w:val="left" w:pos="4032"/>
        </w:tabs>
        <w:kinsoku/>
        <w:wordWrap/>
        <w:overflowPunct/>
        <w:topLinePunct w:val="0"/>
        <w:autoSpaceDE/>
        <w:autoSpaceDN/>
        <w:bidi w:val="0"/>
        <w:adjustRightInd w:val="0"/>
        <w:snapToGrid w:val="0"/>
        <w:spacing w:after="0" w:line="600" w:lineRule="exact"/>
        <w:jc w:val="center"/>
        <w:textAlignment w:val="auto"/>
        <w:rPr>
          <w:rFonts w:hint="eastAsia" w:ascii="楷体_GB2312" w:hAnsi="楷体" w:eastAsia="楷体_GB2312" w:cs="Times New Roman"/>
          <w:color w:val="auto"/>
          <w:spacing w:val="11"/>
          <w:kern w:val="0"/>
          <w:sz w:val="32"/>
          <w:szCs w:val="32"/>
        </w:rPr>
      </w:pPr>
      <w:r>
        <w:rPr>
          <w:rFonts w:hint="eastAsia" w:ascii="楷体_GB2312" w:hAnsi="楷体" w:eastAsia="楷体_GB2312" w:cs="Times New Roman"/>
          <w:color w:val="auto"/>
          <w:spacing w:val="11"/>
          <w:kern w:val="0"/>
          <w:sz w:val="32"/>
          <w:szCs w:val="32"/>
        </w:rPr>
        <w:t>人民代表大会第</w:t>
      </w:r>
      <w:r>
        <w:rPr>
          <w:rFonts w:hint="eastAsia" w:ascii="楷体_GB2312" w:hAnsi="楷体" w:eastAsia="楷体_GB2312" w:cs="Times New Roman"/>
          <w:color w:val="auto"/>
          <w:spacing w:val="11"/>
          <w:kern w:val="0"/>
          <w:sz w:val="32"/>
          <w:szCs w:val="32"/>
          <w:lang w:val="en-US" w:eastAsia="zh-CN"/>
        </w:rPr>
        <w:t>三</w:t>
      </w:r>
      <w:r>
        <w:rPr>
          <w:rFonts w:hint="eastAsia" w:ascii="楷体_GB2312" w:hAnsi="楷体" w:eastAsia="楷体_GB2312" w:cs="Times New Roman"/>
          <w:color w:val="auto"/>
          <w:spacing w:val="11"/>
          <w:kern w:val="0"/>
          <w:sz w:val="32"/>
          <w:szCs w:val="32"/>
          <w:lang w:eastAsia="zh-CN"/>
        </w:rPr>
        <w:t>次</w:t>
      </w:r>
      <w:r>
        <w:rPr>
          <w:rFonts w:hint="eastAsia" w:ascii="楷体_GB2312" w:hAnsi="楷体" w:eastAsia="楷体_GB2312" w:cs="Times New Roman"/>
          <w:color w:val="auto"/>
          <w:spacing w:val="11"/>
          <w:kern w:val="0"/>
          <w:sz w:val="32"/>
          <w:szCs w:val="32"/>
        </w:rPr>
        <w:t>会议上</w:t>
      </w:r>
    </w:p>
    <w:p w14:paraId="058F6C60">
      <w:pPr>
        <w:keepNext w:val="0"/>
        <w:keepLines w:val="0"/>
        <w:pageBreakBefore w:val="0"/>
        <w:widowControl/>
        <w:tabs>
          <w:tab w:val="left" w:pos="4032"/>
        </w:tabs>
        <w:kinsoku/>
        <w:wordWrap/>
        <w:overflowPunct/>
        <w:topLinePunct w:val="0"/>
        <w:autoSpaceDE/>
        <w:autoSpaceDN/>
        <w:bidi w:val="0"/>
        <w:adjustRightInd w:val="0"/>
        <w:snapToGrid w:val="0"/>
        <w:spacing w:after="0" w:line="600" w:lineRule="exact"/>
        <w:jc w:val="center"/>
        <w:textAlignment w:val="auto"/>
        <w:rPr>
          <w:rFonts w:hint="eastAsia" w:ascii="楷体_GB2312" w:hAnsi="楷体" w:eastAsia="楷体_GB2312" w:cs="Times New Roman"/>
          <w:color w:val="auto"/>
          <w:spacing w:val="11"/>
          <w:kern w:val="0"/>
          <w:sz w:val="32"/>
          <w:szCs w:val="32"/>
        </w:rPr>
      </w:pPr>
      <w:r>
        <w:rPr>
          <w:rFonts w:hint="eastAsia" w:ascii="楷体_GB2312" w:hAnsi="楷体" w:eastAsia="楷体_GB2312" w:cs="Times New Roman"/>
          <w:color w:val="auto"/>
          <w:spacing w:val="11"/>
          <w:kern w:val="0"/>
          <w:sz w:val="32"/>
          <w:szCs w:val="32"/>
        </w:rPr>
        <w:t>陈巴尔虎旗发展和改革委员会主任 宝锁</w:t>
      </w:r>
    </w:p>
    <w:p w14:paraId="29A05870">
      <w:pPr>
        <w:keepNext w:val="0"/>
        <w:keepLines w:val="0"/>
        <w:pageBreakBefore w:val="0"/>
        <w:widowControl/>
        <w:kinsoku/>
        <w:wordWrap/>
        <w:overflowPunct/>
        <w:topLinePunct w:val="0"/>
        <w:autoSpaceDE/>
        <w:autoSpaceDN/>
        <w:bidi w:val="0"/>
        <w:adjustRightInd w:val="0"/>
        <w:snapToGrid w:val="0"/>
        <w:spacing w:after="0" w:line="600" w:lineRule="exact"/>
        <w:textAlignment w:val="auto"/>
      </w:pPr>
    </w:p>
    <w:p w14:paraId="5E34A74E">
      <w:pPr>
        <w:keepNext w:val="0"/>
        <w:keepLines w:val="0"/>
        <w:pageBreakBefore w:val="0"/>
        <w:widowControl/>
        <w:kinsoku/>
        <w:wordWrap/>
        <w:overflowPunct/>
        <w:topLinePunct w:val="0"/>
        <w:autoSpaceDE/>
        <w:autoSpaceDN/>
        <w:bidi w:val="0"/>
        <w:adjustRightInd w:val="0"/>
        <w:snapToGrid w:val="0"/>
        <w:spacing w:after="0" w:line="600" w:lineRule="exact"/>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各位代表：</w:t>
      </w:r>
    </w:p>
    <w:p w14:paraId="2A982E00">
      <w:pPr>
        <w:keepNext w:val="0"/>
        <w:keepLines w:val="0"/>
        <w:pageBreakBefore w:val="0"/>
        <w:widowControl/>
        <w:kinsoku/>
        <w:wordWrap/>
        <w:overflowPunct/>
        <w:topLinePunct w:val="0"/>
        <w:autoSpaceDE/>
        <w:autoSpaceDN/>
        <w:bidi w:val="0"/>
        <w:adjustRightInd w:val="0"/>
        <w:snapToGrid w:val="0"/>
        <w:spacing w:after="0" w:line="60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受旗人民政府委托，现将我旗202</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年国民经济和社会发展计划执行情况与202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年国民经济和社会发展计划草案</w:t>
      </w:r>
      <w:r>
        <w:rPr>
          <w:rFonts w:hint="eastAsia" w:ascii="仿宋_GB2312" w:hAnsi="仿宋_GB2312" w:eastAsia="仿宋_GB2312" w:cs="仿宋_GB2312"/>
          <w:sz w:val="32"/>
          <w:szCs w:val="32"/>
          <w:lang w:eastAsia="zh-CN"/>
        </w:rPr>
        <w:t>，提请旗第</w:t>
      </w:r>
      <w:r>
        <w:rPr>
          <w:rFonts w:hint="eastAsia" w:ascii="仿宋_GB2312" w:hAnsi="仿宋_GB2312" w:eastAsia="仿宋_GB2312" w:cs="仿宋_GB2312"/>
          <w:sz w:val="32"/>
          <w:szCs w:val="32"/>
          <w:lang w:val="en-US" w:eastAsia="zh-CN"/>
        </w:rPr>
        <w:t>十六</w:t>
      </w:r>
      <w:r>
        <w:rPr>
          <w:rFonts w:hint="eastAsia" w:ascii="仿宋_GB2312" w:hAnsi="仿宋_GB2312" w:eastAsia="仿宋_GB2312" w:cs="仿宋_GB2312"/>
          <w:sz w:val="32"/>
          <w:szCs w:val="32"/>
          <w:lang w:eastAsia="zh-CN"/>
        </w:rPr>
        <w:t>届人民代表大会第</w:t>
      </w:r>
      <w:r>
        <w:rPr>
          <w:rFonts w:hint="eastAsia" w:ascii="仿宋_GB2312" w:hAnsi="仿宋_GB2312" w:eastAsia="仿宋_GB2312" w:cs="仿宋_GB2312"/>
          <w:sz w:val="32"/>
          <w:szCs w:val="32"/>
          <w:lang w:val="en-US" w:eastAsia="zh-CN"/>
        </w:rPr>
        <w:t>三</w:t>
      </w:r>
      <w:r>
        <w:rPr>
          <w:rFonts w:hint="eastAsia" w:ascii="仿宋_GB2312" w:hAnsi="仿宋_GB2312" w:eastAsia="仿宋_GB2312" w:cs="仿宋_GB2312"/>
          <w:sz w:val="32"/>
          <w:szCs w:val="32"/>
          <w:lang w:eastAsia="zh-CN"/>
        </w:rPr>
        <w:t>次会议</w:t>
      </w:r>
      <w:r>
        <w:rPr>
          <w:rFonts w:hint="eastAsia" w:ascii="仿宋_GB2312" w:hAnsi="仿宋_GB2312" w:eastAsia="仿宋_GB2312" w:cs="仿宋_GB2312"/>
          <w:sz w:val="32"/>
          <w:szCs w:val="32"/>
        </w:rPr>
        <w:t>审议，并请旗政协委员和列席会议的同志提出意见。</w:t>
      </w:r>
    </w:p>
    <w:p w14:paraId="260A0221">
      <w:pPr>
        <w:keepNext w:val="0"/>
        <w:keepLines w:val="0"/>
        <w:pageBreakBefore w:val="0"/>
        <w:widowControl/>
        <w:kinsoku/>
        <w:wordWrap/>
        <w:overflowPunct/>
        <w:topLinePunct w:val="0"/>
        <w:autoSpaceDE/>
        <w:autoSpaceDN/>
        <w:bidi w:val="0"/>
        <w:adjustRightInd w:val="0"/>
        <w:snapToGrid w:val="0"/>
        <w:spacing w:after="0" w:line="600" w:lineRule="exact"/>
        <w:ind w:firstLine="640" w:firstLineChars="200"/>
        <w:jc w:val="both"/>
        <w:textAlignment w:val="auto"/>
        <w:rPr>
          <w:rFonts w:hint="eastAsia" w:ascii="黑体" w:hAnsi="黑体" w:eastAsia="黑体" w:cs="黑体"/>
          <w:sz w:val="32"/>
          <w:szCs w:val="32"/>
        </w:rPr>
      </w:pPr>
      <w:r>
        <w:rPr>
          <w:rFonts w:hint="eastAsia" w:ascii="黑体" w:hAnsi="黑体" w:eastAsia="黑体" w:cs="黑体"/>
          <w:sz w:val="32"/>
          <w:szCs w:val="32"/>
        </w:rPr>
        <w:t>一、202</w:t>
      </w:r>
      <w:r>
        <w:rPr>
          <w:rFonts w:hint="eastAsia" w:ascii="黑体" w:hAnsi="黑体" w:eastAsia="黑体" w:cs="黑体"/>
          <w:sz w:val="32"/>
          <w:szCs w:val="32"/>
          <w:lang w:val="en-US" w:eastAsia="zh-CN"/>
        </w:rPr>
        <w:t>2</w:t>
      </w:r>
      <w:r>
        <w:rPr>
          <w:rFonts w:hint="eastAsia" w:ascii="黑体" w:hAnsi="黑体" w:eastAsia="黑体" w:cs="黑体"/>
          <w:sz w:val="32"/>
          <w:szCs w:val="32"/>
        </w:rPr>
        <w:t>年国民经济和社会发展计划执行情况</w:t>
      </w:r>
    </w:p>
    <w:p w14:paraId="1429EEB6">
      <w:pPr>
        <w:keepNext w:val="0"/>
        <w:keepLines w:val="0"/>
        <w:pageBreakBefore w:val="0"/>
        <w:widowControl/>
        <w:kinsoku/>
        <w:wordWrap/>
        <w:overflowPunct/>
        <w:topLinePunct w:val="0"/>
        <w:autoSpaceDE/>
        <w:autoSpaceDN/>
        <w:bidi w:val="0"/>
        <w:adjustRightInd w:val="0"/>
        <w:snapToGrid w:val="0"/>
        <w:spacing w:after="0" w:line="60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年，全旗上下在旗委、旗政府的坚强领导下，以习近平新时代中国特色社会主义思想为指导，</w:t>
      </w:r>
      <w:r>
        <w:rPr>
          <w:rFonts w:hint="eastAsia" w:ascii="仿宋_GB2312" w:hAnsi="仿宋_GB2312" w:eastAsia="仿宋_GB2312" w:cs="仿宋_GB2312"/>
          <w:sz w:val="32"/>
          <w:szCs w:val="32"/>
          <w:lang w:val="en-US" w:eastAsia="zh-CN"/>
        </w:rPr>
        <w:t>全面落实“疫情要防住、经济要稳住、发展要安全”的重要要求，坚持稳中求进工作总基调，完整、准确、全面贯彻新发展理念，积极服务和融入新发展格局，</w:t>
      </w:r>
      <w:r>
        <w:rPr>
          <w:rFonts w:hint="eastAsia" w:ascii="仿宋_GB2312" w:hAnsi="仿宋_GB2312" w:eastAsia="仿宋_GB2312" w:cs="仿宋_GB2312"/>
          <w:sz w:val="32"/>
          <w:szCs w:val="32"/>
        </w:rPr>
        <w:t>全面落实</w:t>
      </w:r>
      <w:r>
        <w:rPr>
          <w:rFonts w:hint="eastAsia" w:ascii="仿宋_GB2312" w:hAnsi="仿宋_GB2312" w:eastAsia="仿宋_GB2312" w:cs="仿宋_GB2312"/>
          <w:sz w:val="32"/>
          <w:szCs w:val="32"/>
          <w:lang w:val="zh-CN" w:eastAsia="zh-CN"/>
        </w:rPr>
        <w:t>全区经济社会高质量发展座谈会精神</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中国共产党呼伦贝尔市第五届委员会第</w:t>
      </w:r>
      <w:r>
        <w:rPr>
          <w:rFonts w:hint="eastAsia" w:ascii="仿宋_GB2312" w:hAnsi="仿宋_GB2312" w:eastAsia="仿宋_GB2312" w:cs="仿宋_GB2312"/>
          <w:sz w:val="32"/>
          <w:szCs w:val="32"/>
          <w:lang w:val="en-US" w:eastAsia="zh-CN"/>
        </w:rPr>
        <w:t>二</w:t>
      </w:r>
      <w:r>
        <w:rPr>
          <w:rFonts w:hint="eastAsia" w:ascii="仿宋_GB2312" w:hAnsi="仿宋_GB2312" w:eastAsia="仿宋_GB2312" w:cs="仿宋_GB2312"/>
          <w:sz w:val="32"/>
          <w:szCs w:val="32"/>
        </w:rPr>
        <w:t>次全体会议暨全市经济工作会议和中国共产党陈巴尔虎旗第十五届委员会第</w:t>
      </w:r>
      <w:r>
        <w:rPr>
          <w:rFonts w:hint="eastAsia" w:ascii="仿宋_GB2312" w:hAnsi="仿宋_GB2312" w:eastAsia="仿宋_GB2312" w:cs="仿宋_GB2312"/>
          <w:sz w:val="32"/>
          <w:szCs w:val="32"/>
          <w:lang w:val="en-US" w:eastAsia="zh-CN"/>
        </w:rPr>
        <w:t>四</w:t>
      </w:r>
      <w:r>
        <w:rPr>
          <w:rFonts w:hint="eastAsia" w:ascii="仿宋_GB2312" w:hAnsi="仿宋_GB2312" w:eastAsia="仿宋_GB2312" w:cs="仿宋_GB2312"/>
          <w:sz w:val="32"/>
          <w:szCs w:val="32"/>
        </w:rPr>
        <w:t>次全体会议暨全旗经济工作会议精神</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全旗上下坚定不移走以生态优先、绿色发展为导向的高质量发展新路子，把握大势、保持定力，科学调度，精准施策，实现了“稳”的目标，延续了“进”的态势、凸显了“优”的效能、增强了“新”的动力、巩固了“好”的预期，</w:t>
      </w:r>
      <w:r>
        <w:rPr>
          <w:rFonts w:hint="eastAsia" w:ascii="仿宋_GB2312" w:hAnsi="仿宋_GB2312" w:eastAsia="仿宋_GB2312" w:cs="仿宋_GB2312"/>
          <w:sz w:val="32"/>
          <w:szCs w:val="32"/>
        </w:rPr>
        <w:t>全旗经济</w:t>
      </w:r>
      <w:r>
        <w:rPr>
          <w:rFonts w:hint="eastAsia" w:ascii="仿宋_GB2312" w:hAnsi="仿宋_GB2312" w:eastAsia="仿宋_GB2312" w:cs="仿宋_GB2312"/>
          <w:sz w:val="32"/>
          <w:szCs w:val="32"/>
          <w:lang w:val="en-US" w:eastAsia="zh-CN"/>
        </w:rPr>
        <w:t>社会发展呈现稳中有进，进中提质的良好</w:t>
      </w:r>
      <w:r>
        <w:rPr>
          <w:rFonts w:hint="eastAsia" w:ascii="仿宋_GB2312" w:hAnsi="仿宋_GB2312" w:eastAsia="仿宋_GB2312" w:cs="仿宋_GB2312"/>
          <w:sz w:val="32"/>
          <w:szCs w:val="32"/>
        </w:rPr>
        <w:t>态势。</w:t>
      </w:r>
    </w:p>
    <w:p w14:paraId="6D269604">
      <w:pPr>
        <w:keepNext w:val="0"/>
        <w:keepLines w:val="0"/>
        <w:pageBreakBefore w:val="0"/>
        <w:widowControl/>
        <w:kinsoku/>
        <w:wordWrap/>
        <w:overflowPunct/>
        <w:topLinePunct w:val="0"/>
        <w:autoSpaceDE/>
        <w:autoSpaceDN/>
        <w:bidi w:val="0"/>
        <w:adjustRightInd w:val="0"/>
        <w:snapToGrid w:val="0"/>
        <w:spacing w:after="0"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全年</w:t>
      </w:r>
      <w:r>
        <w:rPr>
          <w:rFonts w:hint="eastAsia" w:ascii="仿宋_GB2312" w:hAnsi="仿宋_GB2312" w:eastAsia="仿宋_GB2312" w:cs="仿宋_GB2312"/>
          <w:b/>
          <w:bCs/>
          <w:sz w:val="32"/>
          <w:szCs w:val="32"/>
          <w:lang w:val="en-US" w:eastAsia="zh-CN"/>
        </w:rPr>
        <w:t>地区生产总值</w:t>
      </w:r>
      <w:r>
        <w:rPr>
          <w:rFonts w:hint="eastAsia" w:ascii="仿宋_GB2312" w:hAnsi="仿宋_GB2312" w:eastAsia="仿宋_GB2312" w:cs="仿宋_GB2312"/>
          <w:sz w:val="32"/>
          <w:szCs w:val="32"/>
          <w:lang w:val="en-US" w:eastAsia="zh-CN"/>
        </w:rPr>
        <w:t>完成138.68亿元，同比增长9.6%，总量和增速分别位于全市排名第5位和第2位。其中：第一产业增加值完成19.96亿元，同比增长5.3%；第二产业增加值完成102.69亿元，同比增长12.7%，其中：工业增加值完成97.28亿元，同比增长12.2%;第三产业增加值完成16.02亿元，同比增长2.9%。</w:t>
      </w:r>
      <w:r>
        <w:rPr>
          <w:rFonts w:hint="eastAsia" w:ascii="仿宋_GB2312" w:hAnsi="仿宋_GB2312" w:eastAsia="仿宋_GB2312" w:cs="仿宋_GB2312"/>
          <w:b/>
          <w:bCs/>
          <w:sz w:val="32"/>
          <w:szCs w:val="32"/>
          <w:lang w:val="en-US" w:eastAsia="zh-CN"/>
        </w:rPr>
        <w:t>三次产业结构</w:t>
      </w:r>
      <w:r>
        <w:rPr>
          <w:rFonts w:hint="eastAsia" w:ascii="仿宋_GB2312" w:hAnsi="仿宋_GB2312" w:eastAsia="仿宋_GB2312" w:cs="仿宋_GB2312"/>
          <w:sz w:val="32"/>
          <w:szCs w:val="32"/>
          <w:lang w:val="en-US" w:eastAsia="zh-CN"/>
        </w:rPr>
        <w:t>比为14.4:74:11.6。</w:t>
      </w:r>
      <w:r>
        <w:rPr>
          <w:rFonts w:hint="eastAsia" w:ascii="仿宋_GB2312" w:hAnsi="仿宋_GB2312" w:eastAsia="仿宋_GB2312" w:cs="仿宋_GB2312"/>
          <w:b/>
          <w:bCs/>
          <w:color w:val="auto"/>
          <w:sz w:val="32"/>
          <w:szCs w:val="32"/>
          <w:lang w:val="en-US" w:eastAsia="zh-CN"/>
        </w:rPr>
        <w:t>一般公共预算收入</w:t>
      </w:r>
      <w:r>
        <w:rPr>
          <w:rFonts w:hint="eastAsia" w:ascii="仿宋_GB2312" w:hAnsi="仿宋_GB2312" w:eastAsia="仿宋_GB2312" w:cs="仿宋_GB2312"/>
          <w:color w:val="auto"/>
          <w:sz w:val="32"/>
          <w:szCs w:val="32"/>
          <w:lang w:val="en-US" w:eastAsia="zh-CN"/>
        </w:rPr>
        <w:t>完成7.95亿元，同比增长23%，总量和增速分别位于全市排名第2位和第4位。</w:t>
      </w:r>
      <w:r>
        <w:rPr>
          <w:rFonts w:hint="eastAsia" w:ascii="仿宋_GB2312" w:hAnsi="仿宋_GB2312" w:eastAsia="仿宋_GB2312" w:cs="仿宋_GB2312"/>
          <w:b/>
          <w:bCs/>
          <w:sz w:val="32"/>
          <w:szCs w:val="32"/>
          <w:lang w:val="en-US" w:eastAsia="zh-CN"/>
        </w:rPr>
        <w:t>一般公共预算支出</w:t>
      </w:r>
      <w:r>
        <w:rPr>
          <w:rFonts w:hint="eastAsia" w:ascii="仿宋_GB2312" w:hAnsi="仿宋_GB2312" w:eastAsia="仿宋_GB2312" w:cs="仿宋_GB2312"/>
          <w:sz w:val="32"/>
          <w:szCs w:val="32"/>
          <w:lang w:val="en-US" w:eastAsia="zh-CN"/>
        </w:rPr>
        <w:t>完成20.53亿元，同比增长21.8%，总量和增速分别位于全市排名第9位和第6位。</w:t>
      </w:r>
      <w:r>
        <w:rPr>
          <w:rFonts w:hint="eastAsia" w:ascii="仿宋_GB2312" w:hAnsi="仿宋_GB2312" w:eastAsia="仿宋_GB2312" w:cs="仿宋_GB2312"/>
          <w:b/>
          <w:bCs/>
          <w:sz w:val="32"/>
          <w:szCs w:val="32"/>
          <w:lang w:val="en-US" w:eastAsia="zh-CN"/>
        </w:rPr>
        <w:t>限额以上固定资产投资</w:t>
      </w:r>
      <w:r>
        <w:rPr>
          <w:rFonts w:hint="eastAsia" w:ascii="仿宋_GB2312" w:hAnsi="仿宋_GB2312" w:eastAsia="仿宋_GB2312" w:cs="仿宋_GB2312"/>
          <w:sz w:val="32"/>
          <w:szCs w:val="32"/>
          <w:lang w:val="en-US" w:eastAsia="zh-CN"/>
        </w:rPr>
        <w:t>完成13.29亿元，同比增长21.5%。</w:t>
      </w:r>
      <w:r>
        <w:rPr>
          <w:rFonts w:hint="eastAsia" w:ascii="仿宋_GB2312" w:hAnsi="仿宋_GB2312" w:eastAsia="仿宋_GB2312" w:cs="仿宋_GB2312"/>
          <w:b/>
          <w:bCs/>
          <w:sz w:val="32"/>
          <w:szCs w:val="32"/>
          <w:lang w:val="en-US" w:eastAsia="zh-CN"/>
        </w:rPr>
        <w:t>城镇常住居民人均可支配收入</w:t>
      </w:r>
      <w:r>
        <w:rPr>
          <w:rFonts w:hint="eastAsia" w:ascii="仿宋_GB2312" w:hAnsi="仿宋_GB2312" w:eastAsia="仿宋_GB2312" w:cs="仿宋_GB2312"/>
          <w:sz w:val="32"/>
          <w:szCs w:val="32"/>
          <w:lang w:val="en-US" w:eastAsia="zh-CN"/>
        </w:rPr>
        <w:t>完成37809元，同比增长1.8%，总量和增速分别位于全市排名第5位和第11位；</w:t>
      </w:r>
      <w:r>
        <w:rPr>
          <w:rFonts w:hint="eastAsia" w:ascii="仿宋_GB2312" w:hAnsi="仿宋_GB2312" w:eastAsia="仿宋_GB2312" w:cs="仿宋_GB2312"/>
          <w:b/>
          <w:bCs/>
          <w:sz w:val="32"/>
          <w:szCs w:val="32"/>
          <w:lang w:val="en-US" w:eastAsia="zh-CN"/>
        </w:rPr>
        <w:t>农村牧区常住居民人均可支配收入</w:t>
      </w:r>
      <w:r>
        <w:rPr>
          <w:rFonts w:hint="eastAsia" w:ascii="仿宋_GB2312" w:hAnsi="仿宋_GB2312" w:eastAsia="仿宋_GB2312" w:cs="仿宋_GB2312"/>
          <w:sz w:val="32"/>
          <w:szCs w:val="32"/>
          <w:lang w:val="en-US" w:eastAsia="zh-CN"/>
        </w:rPr>
        <w:t>完成29186元，同比增长4.8%，总量和增速分别位于全市排名第5位和第8位。</w:t>
      </w:r>
      <w:r>
        <w:rPr>
          <w:rFonts w:hint="eastAsia" w:ascii="仿宋_GB2312" w:hAnsi="仿宋_GB2312" w:eastAsia="仿宋_GB2312" w:cs="仿宋_GB2312"/>
          <w:b/>
          <w:bCs/>
          <w:sz w:val="32"/>
          <w:szCs w:val="32"/>
          <w:lang w:val="en-US" w:eastAsia="zh-CN"/>
        </w:rPr>
        <w:t>社会消费品零售总额</w:t>
      </w:r>
      <w:r>
        <w:rPr>
          <w:rFonts w:hint="eastAsia" w:ascii="仿宋_GB2312" w:hAnsi="仿宋_GB2312" w:eastAsia="仿宋_GB2312" w:cs="仿宋_GB2312"/>
          <w:sz w:val="32"/>
          <w:szCs w:val="32"/>
          <w:lang w:val="en-US" w:eastAsia="zh-CN"/>
        </w:rPr>
        <w:t>同比增长2.2%，在全市排名第2位。</w:t>
      </w:r>
      <w:r>
        <w:rPr>
          <w:rFonts w:hint="eastAsia" w:ascii="仿宋_GB2312" w:hAnsi="仿宋_GB2312" w:eastAsia="仿宋_GB2312" w:cs="仿宋_GB2312"/>
          <w:b/>
          <w:bCs/>
          <w:sz w:val="32"/>
          <w:szCs w:val="32"/>
          <w:lang w:val="en-US" w:eastAsia="zh-CN"/>
        </w:rPr>
        <w:t>城镇登记失业率</w:t>
      </w:r>
      <w:r>
        <w:rPr>
          <w:rFonts w:hint="eastAsia" w:ascii="仿宋_GB2312" w:hAnsi="仿宋_GB2312" w:eastAsia="仿宋_GB2312" w:cs="仿宋_GB2312"/>
          <w:sz w:val="32"/>
          <w:szCs w:val="32"/>
          <w:lang w:val="en-US" w:eastAsia="zh-CN"/>
        </w:rPr>
        <w:t>4.54%，控制在目标任务的5.0%以内。</w:t>
      </w:r>
    </w:p>
    <w:p w14:paraId="6EC45111">
      <w:pPr>
        <w:keepNext w:val="0"/>
        <w:keepLines w:val="0"/>
        <w:pageBreakBefore w:val="0"/>
        <w:widowControl/>
        <w:kinsoku/>
        <w:wordWrap/>
        <w:overflowPunct/>
        <w:topLinePunct w:val="0"/>
        <w:autoSpaceDE/>
        <w:autoSpaceDN/>
        <w:bidi w:val="0"/>
        <w:adjustRightInd w:val="0"/>
        <w:snapToGrid w:val="0"/>
        <w:spacing w:after="0" w:line="600" w:lineRule="exact"/>
        <w:ind w:firstLine="684" w:firstLineChars="200"/>
        <w:jc w:val="both"/>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val="0"/>
          <w:bCs w:val="0"/>
          <w:color w:val="auto"/>
          <w:spacing w:val="11"/>
          <w:kern w:val="0"/>
          <w:sz w:val="32"/>
          <w:szCs w:val="32"/>
          <w:highlight w:val="none"/>
          <w:lang w:val="en-US" w:eastAsia="zh-CN"/>
        </w:rPr>
        <w:t>（一）加快转型发展，产业链韧性不断提升。</w:t>
      </w:r>
      <w:r>
        <w:rPr>
          <w:rFonts w:hint="eastAsia" w:ascii="仿宋_GB2312" w:hAnsi="仿宋_GB2312" w:eastAsia="仿宋_GB2312" w:cs="仿宋_GB2312"/>
          <w:b/>
          <w:bCs/>
          <w:sz w:val="32"/>
          <w:szCs w:val="32"/>
          <w:lang w:val="en-US" w:eastAsia="zh-CN"/>
        </w:rPr>
        <w:t>聚焦量质齐升，加快农牧业建设。</w:t>
      </w:r>
      <w:r>
        <w:rPr>
          <w:rFonts w:hint="eastAsia" w:ascii="仿宋_GB2312" w:hAnsi="仿宋_GB2312" w:eastAsia="仿宋_GB2312" w:cs="仿宋_GB2312"/>
          <w:sz w:val="32"/>
          <w:szCs w:val="32"/>
          <w:lang w:val="en-US" w:eastAsia="zh-CN"/>
        </w:rPr>
        <w:t>2022年，全旗农作物播种面积129.67万亩，其中小麦47.2万亩、油菜52.85万亩、杂粮6.23万亩、马铃薯5.57万亩、甜菜4.22万亩、其他作物13.6万亩；农作物总产量32.29万吨。牧业年度牲畜头数148.60万头只（匹），全旗繁殖仔畜58万头只（匹），其中大畜6万头，小畜52万只，成活率达到99%。奶产量、肉产量分别达到8.9万吨和1.7万吨。促进粮食稳产增收，完成了2022年粮食生产目标任务59万亩，建设耕地质量监测点19处，完成黑土地保护性耕作7.7万亩，总投资720万元的2022年高标准农田建设项目已竣工；推进奶业振兴，新增1家50</w:t>
      </w:r>
      <w:r>
        <w:rPr>
          <w:rFonts w:hint="eastAsia" w:ascii="微软雅黑" w:hAnsi="微软雅黑" w:eastAsia="微软雅黑" w:cs="微软雅黑"/>
          <w:sz w:val="32"/>
          <w:szCs w:val="32"/>
          <w:lang w:val="en-US" w:eastAsia="zh-CN"/>
        </w:rPr>
        <w:t>~</w:t>
      </w:r>
      <w:r>
        <w:rPr>
          <w:rFonts w:hint="eastAsia" w:ascii="仿宋_GB2312" w:hAnsi="仿宋_GB2312" w:eastAsia="仿宋_GB2312" w:cs="仿宋_GB2312"/>
          <w:sz w:val="32"/>
          <w:szCs w:val="32"/>
          <w:lang w:val="en-US" w:eastAsia="zh-CN"/>
        </w:rPr>
        <w:t>100头的奶牛养殖户，引导和推动100头以上奶牛规模养殖场实现标准化生产；推进畜牧业品种结构优化，全年牛冷配改良共2.2万头；创建农畜产品品牌，陈巴尔虎旗牛和陈巴尔虎旗红头羊认证全国“名特优新”农产品。</w:t>
      </w:r>
      <w:r>
        <w:rPr>
          <w:rFonts w:hint="eastAsia" w:ascii="仿宋_GB2312" w:hAnsi="仿宋_GB2312" w:eastAsia="仿宋_GB2312" w:cs="仿宋_GB2312"/>
          <w:b/>
          <w:bCs/>
          <w:sz w:val="32"/>
          <w:szCs w:val="32"/>
          <w:lang w:val="en-US" w:eastAsia="zh-CN"/>
        </w:rPr>
        <w:t>坚持改旧育新，促进能源结构优化升级。</w:t>
      </w:r>
      <w:r>
        <w:rPr>
          <w:rFonts w:hint="eastAsia" w:ascii="仿宋_GB2312" w:hAnsi="仿宋_GB2312" w:eastAsia="仿宋_GB2312" w:cs="仿宋_GB2312"/>
          <w:sz w:val="32"/>
          <w:szCs w:val="32"/>
          <w:lang w:val="en-US" w:eastAsia="zh-CN"/>
        </w:rPr>
        <w:t>规模以上工业增加值增长14.1%；原煤产量3261.46万吨，同比增长8.6%；发电量63.4亿千瓦时，同比下降0.9%；优化矿区资源开发布局，完成宝日希勒煤炭矿区总体规划及规划环评修编工作；谋划布局优质项目和新兴产业，促进产业集群发展，推动产业结构转型升级。总投资2亿元的国能宝日希勒能源有限公司一级破碎站移设坑下项目，完成投资1.2亿元；总投资1.35亿元的国能宝日希勒能源露天煤矿地销煤储运系统改造工程，完成投资1.14亿元；总投资5748万元的国能宝日希勒能源有限公司生产区后勤保障中心项目，完成投资5630万元；总投资2387万元的国能宝日希勒能源有限公司水电中心新建换热站项目，完成投资2077万元。</w:t>
      </w:r>
      <w:r>
        <w:rPr>
          <w:rFonts w:hint="eastAsia" w:ascii="仿宋_GB2312" w:hAnsi="仿宋_GB2312" w:eastAsia="仿宋_GB2312" w:cs="仿宋_GB2312"/>
          <w:b/>
          <w:bCs/>
          <w:sz w:val="32"/>
          <w:szCs w:val="32"/>
          <w:lang w:val="en-US" w:eastAsia="zh-CN"/>
        </w:rPr>
        <w:t>促进文旅融合，提升服务业发展水平。</w:t>
      </w:r>
      <w:r>
        <w:rPr>
          <w:rFonts w:hint="eastAsia" w:ascii="仿宋_GB2312" w:hAnsi="仿宋_GB2312" w:eastAsia="仿宋_GB2312" w:cs="仿宋_GB2312"/>
          <w:sz w:val="32"/>
          <w:szCs w:val="32"/>
          <w:lang w:val="en-US" w:eastAsia="zh-CN"/>
        </w:rPr>
        <w:t>持续推进总投资3.1亿元的呼伦贝尔大草原·莫尔格勒河景区创建国家5A级景区建设项目，完成总投资的95%。举办天天冰雪那达慕、万马奔腾、草原风筝季、烟花秀等形式多元、影响广泛的各类活动，游客文旅体验丰富；成功承办呼伦贝尔市旅发大会观摩活动；全年共接待游客121.2万人次，同比增长10%，完成旅游业收入3.81亿元，同比增长19%。</w:t>
      </w:r>
    </w:p>
    <w:p w14:paraId="028AECFC">
      <w:pPr>
        <w:keepNext w:val="0"/>
        <w:keepLines w:val="0"/>
        <w:pageBreakBefore w:val="0"/>
        <w:widowControl/>
        <w:kinsoku/>
        <w:wordWrap/>
        <w:overflowPunct/>
        <w:topLinePunct w:val="0"/>
        <w:autoSpaceDE/>
        <w:autoSpaceDN/>
        <w:bidi w:val="0"/>
        <w:adjustRightInd w:val="0"/>
        <w:snapToGrid w:val="0"/>
        <w:spacing w:after="0" w:line="600" w:lineRule="exact"/>
        <w:ind w:firstLine="684" w:firstLineChars="200"/>
        <w:jc w:val="both"/>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val="0"/>
          <w:bCs w:val="0"/>
          <w:color w:val="auto"/>
          <w:spacing w:val="11"/>
          <w:kern w:val="0"/>
          <w:sz w:val="32"/>
          <w:szCs w:val="32"/>
          <w:highlight w:val="none"/>
          <w:lang w:val="en-US" w:eastAsia="zh-CN"/>
        </w:rPr>
        <w:t>（二）力抓项目投资，经济质量效益持续提升。</w:t>
      </w:r>
      <w:r>
        <w:rPr>
          <w:rFonts w:hint="eastAsia" w:ascii="仿宋_GB2312" w:hAnsi="仿宋_GB2312" w:eastAsia="仿宋_GB2312" w:cs="仿宋_GB2312"/>
          <w:b/>
          <w:bCs/>
          <w:sz w:val="32"/>
          <w:szCs w:val="32"/>
          <w:lang w:val="en-US" w:eastAsia="zh-CN"/>
        </w:rPr>
        <w:t>务实有力推进重点项目建设。</w:t>
      </w:r>
      <w:r>
        <w:rPr>
          <w:rFonts w:hint="eastAsia" w:ascii="仿宋_GB2312" w:hAnsi="仿宋_GB2312" w:eastAsia="仿宋_GB2312" w:cs="仿宋_GB2312"/>
          <w:sz w:val="32"/>
          <w:szCs w:val="32"/>
          <w:lang w:val="en-US" w:eastAsia="zh-CN"/>
        </w:rPr>
        <w:t>牢固树立“项目为王”的理念，</w:t>
      </w:r>
      <w:r>
        <w:rPr>
          <w:rFonts w:hint="eastAsia" w:ascii="仿宋_GB2312" w:hAnsi="仿宋_GB2312" w:eastAsia="仿宋_GB2312" w:cs="仿宋_GB2312"/>
          <w:sz w:val="32"/>
          <w:szCs w:val="32"/>
        </w:rPr>
        <w:t>坚持稳字当头、稳中求进，拉高标杆、跳起摘桃，</w:t>
      </w:r>
      <w:r>
        <w:rPr>
          <w:rFonts w:hint="eastAsia" w:ascii="仿宋_GB2312" w:hAnsi="仿宋_GB2312" w:eastAsia="仿宋_GB2312" w:cs="仿宋_GB2312"/>
          <w:sz w:val="32"/>
          <w:szCs w:val="32"/>
          <w:lang w:val="en-US" w:eastAsia="zh-CN"/>
        </w:rPr>
        <w:t>加大谋划、储备、建设力度，为高质量发展提供强有力支撑。2022年累计审批、备案固定资产投资项目68个，总投资21.34亿元，其中：审批项目35个，投资11.51亿元，备案项目33个，投资9.83亿元。2022年实施500万元以上旗级重点项目64个，总投资25.32亿元，年度计划投资15.73亿元。开复工项目数56个，开复工率87.5%，完成投资13.31亿元，完成年度计划投资的84.6%。其中，实施5000万元以上市级重点项目10个，总投资9.94亿元，年度计划投资4.89亿元。其中：新建项目6个，投资5.71亿元，占总投资的57%；续建项目4个，投资4.23亿元，占总投资的43%。开复工项目数10个，开复工率100%，完成投资5.58亿元，完成年度计划投资的114.1%。</w:t>
      </w:r>
      <w:r>
        <w:rPr>
          <w:rFonts w:hint="eastAsia" w:ascii="仿宋_GB2312" w:hAnsi="仿宋_GB2312" w:eastAsia="仿宋_GB2312" w:cs="仿宋_GB2312"/>
          <w:b/>
          <w:bCs/>
          <w:sz w:val="32"/>
          <w:szCs w:val="32"/>
          <w:lang w:val="en-US" w:eastAsia="zh-CN"/>
        </w:rPr>
        <w:t>科学精准谋划储备2023年项目。</w:t>
      </w:r>
      <w:r>
        <w:rPr>
          <w:rFonts w:hint="eastAsia" w:ascii="仿宋_GB2312" w:hAnsi="仿宋_GB2312" w:eastAsia="仿宋_GB2312" w:cs="仿宋_GB2312"/>
          <w:sz w:val="32"/>
          <w:szCs w:val="32"/>
          <w:lang w:val="en-US" w:eastAsia="zh-CN"/>
        </w:rPr>
        <w:t>围绕生态文明建设、产业动能提升、基础设施建设、社会民生领域补短板建设等领域初步谋划旗级重点项目76个，总投资34.15亿元，年度计划投资21.28亿元，较2022年旗级重点项目相比，总投资增长8.84亿元，增幅35%；年度计划投资增长5.58亿元，增幅35%。其中：谋划2023年市级重点项目22个，总投资24.69亿元，年度计划投资14.08亿元。较2022年相比，项目个数增长12个，增幅120%；总投资增长14.75亿元，增幅148.4%；年度计划投资增长9.19亿元，增幅187.9%。</w:t>
      </w:r>
      <w:r>
        <w:rPr>
          <w:rFonts w:hint="eastAsia" w:ascii="仿宋_GB2312" w:hAnsi="仿宋_GB2312" w:eastAsia="仿宋_GB2312" w:cs="仿宋_GB2312"/>
          <w:b/>
          <w:bCs/>
          <w:sz w:val="32"/>
          <w:szCs w:val="32"/>
          <w:lang w:val="en-US" w:eastAsia="zh-CN"/>
        </w:rPr>
        <w:t>积极向上争跑资金。</w:t>
      </w:r>
      <w:r>
        <w:rPr>
          <w:rFonts w:hint="eastAsia" w:ascii="仿宋_GB2312" w:hAnsi="仿宋_GB2312" w:eastAsia="仿宋_GB2312" w:cs="仿宋_GB2312"/>
          <w:sz w:val="32"/>
          <w:szCs w:val="32"/>
          <w:lang w:val="en-US" w:eastAsia="zh-CN"/>
        </w:rPr>
        <w:t>持续贯彻</w:t>
      </w:r>
      <w:r>
        <w:rPr>
          <w:rFonts w:hint="eastAsia" w:ascii="仿宋_GB2312" w:hAnsi="仿宋_GB2312" w:eastAsia="仿宋_GB2312" w:cs="仿宋_GB2312"/>
          <w:sz w:val="32"/>
          <w:szCs w:val="32"/>
          <w:lang w:eastAsia="zh-CN"/>
        </w:rPr>
        <w:t>落实国家、自治区扎实稳住经济一揽子政策措施，</w:t>
      </w:r>
      <w:r>
        <w:rPr>
          <w:rFonts w:hint="eastAsia" w:ascii="仿宋_GB2312" w:hAnsi="仿宋_GB2312" w:eastAsia="仿宋_GB2312" w:cs="仿宋_GB2312"/>
          <w:sz w:val="32"/>
          <w:szCs w:val="32"/>
          <w:lang w:val="en-US" w:eastAsia="zh-CN"/>
        </w:rPr>
        <w:t>紧盯国家战略和重点投向，结合我旗发展需求，加快补齐发展短板，用足用好专项债券资金、中央预算内资金及各类专项资金。2022年，专项债券资金到位8000万元；中央预算内资金到位3672.14万元；各类专项资金到位10.5亿元。</w:t>
      </w:r>
      <w:r>
        <w:rPr>
          <w:rFonts w:hint="eastAsia" w:ascii="仿宋_GB2312" w:hAnsi="仿宋_GB2312" w:eastAsia="仿宋_GB2312" w:cs="仿宋_GB2312"/>
          <w:b/>
          <w:bCs/>
          <w:sz w:val="32"/>
          <w:szCs w:val="32"/>
          <w:lang w:val="en-US" w:eastAsia="zh-CN"/>
        </w:rPr>
        <w:t>“五个大起底”</w:t>
      </w:r>
      <w:r>
        <w:rPr>
          <w:rFonts w:hint="eastAsia" w:ascii="仿宋_GB2312" w:hAnsi="仿宋_GB2312" w:eastAsia="仿宋_GB2312" w:cs="仿宋_GB2312"/>
          <w:color w:val="000000" w:themeColor="text1"/>
          <w:sz w:val="32"/>
          <w:szCs w:val="32"/>
          <w:shd w:val="clear" w:color="auto" w:fill="FFFFFF"/>
          <w:vertAlign w:val="superscript"/>
          <w14:textFill>
            <w14:solidFill>
              <w14:schemeClr w14:val="tx1"/>
            </w14:solidFill>
          </w14:textFill>
        </w:rPr>
        <w:t>①</w:t>
      </w:r>
      <w:r>
        <w:rPr>
          <w:rFonts w:hint="eastAsia" w:ascii="仿宋_GB2312" w:hAnsi="仿宋_GB2312" w:eastAsia="仿宋_GB2312" w:cs="仿宋_GB2312"/>
          <w:b/>
          <w:bCs/>
          <w:sz w:val="32"/>
          <w:szCs w:val="32"/>
          <w:lang w:val="en-US" w:eastAsia="zh-CN"/>
        </w:rPr>
        <w:t>行动成效显著。</w:t>
      </w:r>
      <w:r>
        <w:rPr>
          <w:rFonts w:hint="eastAsia" w:ascii="仿宋_GB2312" w:hAnsi="仿宋_GB2312" w:eastAsia="仿宋_GB2312" w:cs="仿宋_GB2312"/>
          <w:sz w:val="32"/>
          <w:szCs w:val="32"/>
          <w:lang w:val="en-US" w:eastAsia="zh-CN"/>
        </w:rPr>
        <w:t>我旗待批项目全部实现应批尽批，办结率100%，起底闲置资金</w:t>
      </w:r>
      <w:r>
        <w:rPr>
          <w:rFonts w:hint="eastAsia" w:ascii="仿宋_GB2312" w:hAnsi="仿宋_GB2312" w:eastAsia="仿宋_GB2312" w:cs="仿宋_GB2312"/>
          <w:color w:val="auto"/>
          <w:sz w:val="32"/>
          <w:szCs w:val="32"/>
          <w:lang w:val="en-US" w:eastAsia="zh-CN"/>
        </w:rPr>
        <w:t>696</w:t>
      </w:r>
      <w:r>
        <w:rPr>
          <w:rFonts w:hint="eastAsia" w:ascii="仿宋_GB2312" w:hAnsi="仿宋_GB2312" w:eastAsia="仿宋_GB2312" w:cs="仿宋_GB2312"/>
          <w:sz w:val="32"/>
          <w:szCs w:val="32"/>
          <w:lang w:val="en-US" w:eastAsia="zh-CN"/>
        </w:rPr>
        <w:t>万元，盘活批而未供和闲置土地68公顷，资源利用效率不断提高。</w:t>
      </w:r>
      <w:r>
        <w:rPr>
          <w:rFonts w:hint="eastAsia" w:ascii="仿宋_GB2312" w:hAnsi="仿宋_GB2312" w:eastAsia="仿宋_GB2312" w:cs="仿宋_GB2312"/>
          <w:sz w:val="32"/>
          <w:szCs w:val="32"/>
          <w:lang w:val="en-US" w:eastAsia="zh-CN"/>
        </w:rPr>
        <w:br w:type="textWrapping"/>
      </w:r>
      <w:r>
        <w:rPr>
          <w:rFonts w:hint="eastAsia" w:ascii="仿宋_GB2312" w:hAnsi="仿宋_GB2312" w:eastAsia="仿宋_GB2312" w:cs="仿宋_GB2312"/>
          <w:sz w:val="32"/>
          <w:szCs w:val="32"/>
          <w:lang w:val="en-US" w:eastAsia="zh-CN"/>
        </w:rPr>
        <w:t xml:space="preserve">    </w:t>
      </w:r>
      <w:r>
        <w:rPr>
          <w:rFonts w:hint="eastAsia" w:ascii="楷体_GB2312" w:hAnsi="楷体_GB2312" w:eastAsia="楷体_GB2312" w:cs="楷体_GB2312"/>
          <w:b w:val="0"/>
          <w:bCs w:val="0"/>
          <w:color w:val="auto"/>
          <w:spacing w:val="11"/>
          <w:kern w:val="0"/>
          <w:sz w:val="32"/>
          <w:szCs w:val="32"/>
          <w:highlight w:val="none"/>
          <w:lang w:val="en-US" w:eastAsia="zh-CN"/>
        </w:rPr>
        <w:t>(三）保持战略定力，生态文明建设成效显著。</w:t>
      </w:r>
      <w:r>
        <w:rPr>
          <w:rFonts w:hint="eastAsia" w:ascii="仿宋_GB2312" w:hAnsi="仿宋_GB2312" w:eastAsia="仿宋_GB2312" w:cs="仿宋_GB2312"/>
          <w:b/>
          <w:bCs/>
          <w:sz w:val="32"/>
          <w:szCs w:val="32"/>
          <w:lang w:val="en-US" w:eastAsia="zh-CN"/>
        </w:rPr>
        <w:t>生态环境治理持续改善。</w:t>
      </w:r>
      <w:r>
        <w:rPr>
          <w:rFonts w:hint="eastAsia" w:ascii="仿宋_GB2312" w:hAnsi="仿宋_GB2312" w:eastAsia="仿宋_GB2312" w:cs="仿宋_GB2312"/>
          <w:sz w:val="32"/>
          <w:szCs w:val="32"/>
          <w:lang w:val="en-US" w:eastAsia="zh-CN"/>
        </w:rPr>
        <w:t>牢固树立和践行“绿水青山就是金山银山”的理念，切实加强生态系统保护，</w:t>
      </w:r>
      <w:r>
        <w:rPr>
          <w:rFonts w:hint="eastAsia" w:ascii="仿宋_GB2312" w:hAnsi="仿宋_GB2312" w:eastAsia="仿宋_GB2312" w:cs="仿宋_GB2312"/>
          <w:sz w:val="32"/>
          <w:szCs w:val="32"/>
          <w:lang w:eastAsia="zh-CN"/>
        </w:rPr>
        <w:t>草原综合植被覆盖度达到</w:t>
      </w:r>
      <w:r>
        <w:rPr>
          <w:rFonts w:hint="eastAsia" w:ascii="仿宋_GB2312" w:hAnsi="仿宋_GB2312" w:eastAsia="仿宋_GB2312" w:cs="仿宋_GB2312"/>
          <w:sz w:val="32"/>
          <w:szCs w:val="32"/>
          <w:lang w:val="en-US" w:eastAsia="zh-CN"/>
        </w:rPr>
        <w:t>79%，森林储积量983.61万立方米。科学划定“三区三线”，编制完成国土空间总体规划；推进山水林田湖草沙治理，全面落实林长制、草长制、河湖长制，实施草原生态建设修复、营造林等重点生态工程73.6万亩，接续治理历史遗留废弃采坑</w:t>
      </w:r>
      <w:r>
        <w:rPr>
          <w:rFonts w:hint="eastAsia" w:ascii="仿宋_GB2312" w:hAnsi="仿宋_GB2312" w:eastAsia="仿宋_GB2312" w:cs="仿宋_GB2312"/>
          <w:color w:val="auto"/>
          <w:sz w:val="32"/>
          <w:szCs w:val="32"/>
          <w:lang w:val="en-US" w:eastAsia="zh-CN"/>
        </w:rPr>
        <w:t>227处，</w:t>
      </w:r>
      <w:r>
        <w:rPr>
          <w:rFonts w:hint="eastAsia" w:ascii="仿宋_GB2312" w:hAnsi="仿宋_GB2312" w:eastAsia="仿宋_GB2312" w:cs="仿宋_GB2312"/>
          <w:sz w:val="32"/>
          <w:szCs w:val="32"/>
          <w:lang w:val="en-US" w:eastAsia="zh-CN"/>
        </w:rPr>
        <w:t>草原奖补、公益林补偿等生态保护资金足额发放；总投资1400万元的草原生态修复项目、总投资1500万元的天然林保护与营造林项目均已竣工。</w:t>
      </w:r>
      <w:r>
        <w:rPr>
          <w:rFonts w:hint="eastAsia" w:ascii="仿宋_GB2312" w:hAnsi="仿宋_GB2312" w:eastAsia="仿宋_GB2312" w:cs="仿宋_GB2312"/>
          <w:b/>
          <w:bCs/>
          <w:sz w:val="32"/>
          <w:szCs w:val="32"/>
          <w:lang w:val="en-US" w:eastAsia="zh-CN"/>
        </w:rPr>
        <w:t>全力落实能耗双控任务。</w:t>
      </w:r>
      <w:r>
        <w:rPr>
          <w:rFonts w:hint="eastAsia" w:ascii="仿宋_GB2312" w:hAnsi="仿宋_GB2312" w:eastAsia="仿宋_GB2312" w:cs="仿宋_GB2312"/>
          <w:sz w:val="32"/>
          <w:szCs w:val="32"/>
          <w:lang w:val="en-US" w:eastAsia="zh-CN"/>
        </w:rPr>
        <w:t>实施全面节约战略，坚决遏制“两高”项目盲目发展，对标能效标杆水平，有序实施重点行业企业改造升级。</w:t>
      </w:r>
      <w:r>
        <w:rPr>
          <w:rFonts w:hint="eastAsia" w:ascii="仿宋_GB2312" w:hAnsi="仿宋_GB2312" w:eastAsia="仿宋_GB2312" w:cs="仿宋_GB2312"/>
          <w:b/>
          <w:bCs/>
          <w:sz w:val="32"/>
          <w:szCs w:val="32"/>
          <w:lang w:val="en-US" w:eastAsia="zh-CN"/>
        </w:rPr>
        <w:t>持续巩固污染防治成果。</w:t>
      </w:r>
      <w:r>
        <w:rPr>
          <w:rFonts w:hint="eastAsia" w:ascii="仿宋_GB2312" w:hAnsi="仿宋_GB2312" w:eastAsia="仿宋_GB2312" w:cs="仿宋_GB2312"/>
          <w:sz w:val="32"/>
          <w:szCs w:val="32"/>
          <w:lang w:val="en-US" w:eastAsia="zh-CN"/>
        </w:rPr>
        <w:t>严格春季秸秆焚烧管控，强化机动车污染防治，完成土壤、地下水污染状况排查整治，强化危险废物监管，加大饮用水源保护力度，全</w:t>
      </w:r>
      <w:r>
        <w:rPr>
          <w:rFonts w:hint="eastAsia" w:ascii="仿宋_GB2312" w:hAnsi="仿宋_GB2312" w:eastAsia="仿宋_GB2312" w:cs="仿宋_GB2312"/>
          <w:sz w:val="32"/>
          <w:szCs w:val="32"/>
          <w:lang w:eastAsia="zh-CN"/>
        </w:rPr>
        <w:t>年</w:t>
      </w:r>
      <w:r>
        <w:rPr>
          <w:rFonts w:hint="eastAsia" w:ascii="仿宋_GB2312" w:hAnsi="仿宋_GB2312" w:eastAsia="仿宋_GB2312" w:cs="仿宋_GB2312"/>
          <w:sz w:val="32"/>
          <w:szCs w:val="32"/>
          <w:lang w:val="en-US" w:eastAsia="zh-CN"/>
        </w:rPr>
        <w:t>空气质量</w:t>
      </w:r>
      <w:r>
        <w:rPr>
          <w:rFonts w:hint="eastAsia" w:ascii="仿宋_GB2312" w:hAnsi="仿宋_GB2312" w:eastAsia="仿宋_GB2312" w:cs="仿宋_GB2312"/>
          <w:sz w:val="32"/>
          <w:szCs w:val="32"/>
          <w:lang w:eastAsia="zh-CN"/>
        </w:rPr>
        <w:t>优良天数比率</w:t>
      </w:r>
      <w:r>
        <w:rPr>
          <w:rFonts w:hint="eastAsia" w:ascii="仿宋_GB2312" w:hAnsi="仿宋_GB2312" w:eastAsia="仿宋_GB2312" w:cs="仿宋_GB2312"/>
          <w:sz w:val="32"/>
          <w:szCs w:val="32"/>
          <w:lang w:val="en-US" w:eastAsia="zh-CN"/>
        </w:rPr>
        <w:t>达到99.7</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w:t>
      </w:r>
    </w:p>
    <w:p w14:paraId="5D43E1B1">
      <w:pPr>
        <w:keepNext w:val="0"/>
        <w:keepLines w:val="0"/>
        <w:pageBreakBefore w:val="0"/>
        <w:widowControl/>
        <w:kinsoku/>
        <w:wordWrap/>
        <w:overflowPunct/>
        <w:topLinePunct w:val="0"/>
        <w:autoSpaceDE/>
        <w:autoSpaceDN/>
        <w:bidi w:val="0"/>
        <w:adjustRightInd w:val="0"/>
        <w:snapToGrid w:val="0"/>
        <w:spacing w:after="0" w:line="600" w:lineRule="exact"/>
        <w:ind w:firstLine="684" w:firstLineChars="200"/>
        <w:jc w:val="both"/>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val="0"/>
          <w:bCs w:val="0"/>
          <w:color w:val="auto"/>
          <w:spacing w:val="11"/>
          <w:kern w:val="0"/>
          <w:sz w:val="32"/>
          <w:szCs w:val="32"/>
          <w:highlight w:val="none"/>
          <w:lang w:val="en-US" w:eastAsia="zh-CN"/>
        </w:rPr>
        <w:t>（四）统筹城乡发展，经济社会发展布局明显改善。</w:t>
      </w:r>
      <w:r>
        <w:rPr>
          <w:rFonts w:hint="eastAsia" w:ascii="仿宋_GB2312" w:hAnsi="仿宋_GB2312" w:eastAsia="仿宋_GB2312" w:cs="仿宋_GB2312"/>
          <w:b/>
          <w:bCs/>
          <w:sz w:val="32"/>
          <w:szCs w:val="32"/>
        </w:rPr>
        <w:t>交通基础设施</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sz w:val="32"/>
          <w:szCs w:val="32"/>
          <w:lang w:eastAsia="zh-CN"/>
        </w:rPr>
        <w:t>总投资</w:t>
      </w:r>
      <w:r>
        <w:rPr>
          <w:rFonts w:hint="eastAsia" w:ascii="仿宋_GB2312" w:hAnsi="仿宋_GB2312" w:eastAsia="仿宋_GB2312" w:cs="仿宋_GB2312"/>
          <w:sz w:val="32"/>
          <w:szCs w:val="32"/>
          <w:lang w:val="en-US" w:eastAsia="zh-CN"/>
        </w:rPr>
        <w:t>3260万元的</w:t>
      </w:r>
      <w:r>
        <w:rPr>
          <w:rFonts w:hint="eastAsia" w:ascii="仿宋_GB2312" w:hAnsi="仿宋_GB2312" w:eastAsia="仿宋_GB2312" w:cs="仿宋_GB2312"/>
          <w:sz w:val="32"/>
          <w:szCs w:val="32"/>
        </w:rPr>
        <w:t>呼和诺尔镇白音布日德嘎查至完工公路建设项目</w:t>
      </w:r>
      <w:r>
        <w:rPr>
          <w:rFonts w:hint="eastAsia" w:ascii="仿宋_GB2312" w:hAnsi="仿宋_GB2312" w:eastAsia="仿宋_GB2312" w:cs="仿宋_GB2312"/>
          <w:sz w:val="32"/>
          <w:szCs w:val="32"/>
          <w:lang w:val="en-US" w:eastAsia="zh-CN"/>
        </w:rPr>
        <w:t>完成投资2600万元；总投资1571万元的东乌珠尔苏木道路维修改造项目完成投资1442万元；总投资1800万元的头站至鄂温克民族苏木公路路面工程完成投资1690万元；总投资4480万元的海拉尔至特泥河农牧场公路项目，完成投资3668万元。</w:t>
      </w:r>
      <w:r>
        <w:rPr>
          <w:rFonts w:hint="eastAsia" w:ascii="仿宋_GB2312" w:hAnsi="仿宋_GB2312" w:eastAsia="仿宋_GB2312" w:cs="仿宋_GB2312"/>
          <w:b/>
          <w:bCs/>
          <w:sz w:val="32"/>
          <w:szCs w:val="32"/>
        </w:rPr>
        <w:t>水利基础设施</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sz w:val="32"/>
          <w:szCs w:val="32"/>
          <w:lang w:eastAsia="zh-CN"/>
        </w:rPr>
        <w:t>总投资</w:t>
      </w:r>
      <w:r>
        <w:rPr>
          <w:rFonts w:hint="eastAsia" w:ascii="仿宋_GB2312" w:hAnsi="仿宋_GB2312" w:eastAsia="仿宋_GB2312" w:cs="仿宋_GB2312"/>
          <w:sz w:val="32"/>
          <w:szCs w:val="32"/>
          <w:lang w:val="en-US" w:eastAsia="zh-CN"/>
        </w:rPr>
        <w:t>6500</w:t>
      </w:r>
      <w:r>
        <w:rPr>
          <w:rFonts w:hint="eastAsia" w:ascii="仿宋_GB2312" w:hAnsi="仿宋_GB2312" w:eastAsia="仿宋_GB2312" w:cs="仿宋_GB2312"/>
          <w:sz w:val="32"/>
          <w:szCs w:val="32"/>
          <w:lang w:eastAsia="zh-CN"/>
        </w:rPr>
        <w:t>万元的</w:t>
      </w:r>
      <w:r>
        <w:rPr>
          <w:rFonts w:hint="eastAsia" w:ascii="仿宋_GB2312" w:hAnsi="仿宋_GB2312" w:eastAsia="仿宋_GB2312" w:cs="仿宋_GB2312"/>
          <w:sz w:val="32"/>
          <w:szCs w:val="32"/>
        </w:rPr>
        <w:t>水生态治理工程</w:t>
      </w:r>
      <w:r>
        <w:rPr>
          <w:rFonts w:hint="eastAsia" w:ascii="仿宋_GB2312" w:hAnsi="仿宋_GB2312" w:eastAsia="仿宋_GB2312" w:cs="仿宋_GB2312"/>
          <w:sz w:val="32"/>
          <w:szCs w:val="32"/>
          <w:lang w:eastAsia="zh-CN"/>
        </w:rPr>
        <w:t>，完成投资</w:t>
      </w:r>
      <w:r>
        <w:rPr>
          <w:rFonts w:hint="eastAsia" w:ascii="仿宋_GB2312" w:hAnsi="仿宋_GB2312" w:eastAsia="仿宋_GB2312" w:cs="仿宋_GB2312"/>
          <w:sz w:val="32"/>
          <w:szCs w:val="32"/>
          <w:lang w:val="en-US" w:eastAsia="zh-CN"/>
        </w:rPr>
        <w:t>4769</w:t>
      </w:r>
      <w:r>
        <w:rPr>
          <w:rFonts w:hint="eastAsia" w:ascii="仿宋_GB2312" w:hAnsi="仿宋_GB2312" w:eastAsia="仿宋_GB2312" w:cs="仿宋_GB2312"/>
          <w:sz w:val="32"/>
          <w:szCs w:val="32"/>
          <w:lang w:eastAsia="zh-CN"/>
        </w:rPr>
        <w:t>万元</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eastAsia="zh-CN"/>
        </w:rPr>
        <w:t>总投资</w:t>
      </w:r>
      <w:r>
        <w:rPr>
          <w:rFonts w:hint="eastAsia" w:ascii="仿宋_GB2312" w:hAnsi="仿宋_GB2312" w:eastAsia="仿宋_GB2312" w:cs="仿宋_GB2312"/>
          <w:sz w:val="32"/>
          <w:szCs w:val="32"/>
          <w:lang w:val="en-US" w:eastAsia="zh-CN"/>
        </w:rPr>
        <w:t>6500</w:t>
      </w:r>
      <w:r>
        <w:rPr>
          <w:rFonts w:hint="eastAsia" w:ascii="仿宋_GB2312" w:hAnsi="仿宋_GB2312" w:eastAsia="仿宋_GB2312" w:cs="仿宋_GB2312"/>
          <w:sz w:val="32"/>
          <w:szCs w:val="32"/>
          <w:lang w:eastAsia="zh-CN"/>
        </w:rPr>
        <w:t>万元的</w:t>
      </w:r>
      <w:r>
        <w:rPr>
          <w:rFonts w:hint="eastAsia" w:ascii="仿宋_GB2312" w:hAnsi="仿宋_GB2312" w:eastAsia="仿宋_GB2312" w:cs="仿宋_GB2312"/>
          <w:sz w:val="32"/>
          <w:szCs w:val="32"/>
          <w:lang w:val="en-US" w:eastAsia="zh-CN"/>
        </w:rPr>
        <w:t>呼和诺尔湖综合治理与生态恢复工程</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完成投资</w:t>
      </w:r>
      <w:r>
        <w:rPr>
          <w:rFonts w:hint="eastAsia" w:ascii="仿宋_GB2312" w:hAnsi="仿宋_GB2312" w:eastAsia="仿宋_GB2312" w:cs="仿宋_GB2312"/>
          <w:sz w:val="32"/>
          <w:szCs w:val="32"/>
          <w:lang w:val="en-US" w:eastAsia="zh-CN"/>
        </w:rPr>
        <w:t>4400</w:t>
      </w:r>
      <w:r>
        <w:rPr>
          <w:rFonts w:hint="eastAsia" w:ascii="仿宋_GB2312" w:hAnsi="仿宋_GB2312" w:eastAsia="仿宋_GB2312" w:cs="仿宋_GB2312"/>
          <w:sz w:val="32"/>
          <w:szCs w:val="32"/>
          <w:lang w:eastAsia="zh-CN"/>
        </w:rPr>
        <w:t>万元；</w:t>
      </w:r>
      <w:r>
        <w:rPr>
          <w:rFonts w:hint="eastAsia" w:ascii="仿宋_GB2312" w:hAnsi="仿宋_GB2312" w:eastAsia="仿宋_GB2312" w:cs="仿宋_GB2312"/>
          <w:sz w:val="32"/>
          <w:szCs w:val="32"/>
          <w:lang w:val="en-US" w:eastAsia="zh-CN"/>
        </w:rPr>
        <w:t>总投资637.34万元的三供一业饮水安全改造工程项目、总投资150万元的新建抗旱井及维修抗旱井项目均已竣工。</w:t>
      </w:r>
      <w:r>
        <w:rPr>
          <w:rFonts w:hint="eastAsia" w:ascii="仿宋_GB2312" w:hAnsi="仿宋_GB2312" w:eastAsia="仿宋_GB2312" w:cs="仿宋_GB2312"/>
          <w:b/>
          <w:bCs/>
          <w:sz w:val="32"/>
          <w:szCs w:val="32"/>
          <w:lang w:val="en-US" w:eastAsia="zh-CN"/>
        </w:rPr>
        <w:t>市政基础设施：</w:t>
      </w:r>
      <w:r>
        <w:rPr>
          <w:rFonts w:hint="eastAsia" w:ascii="仿宋_GB2312" w:hAnsi="仿宋_GB2312" w:eastAsia="仿宋_GB2312" w:cs="仿宋_GB2312"/>
          <w:sz w:val="32"/>
          <w:szCs w:val="32"/>
          <w:lang w:val="en-US" w:eastAsia="zh-CN"/>
        </w:rPr>
        <w:t>总投资702万元的2022年中央补助支持城镇老旧小区改造项目已竣工；总投资950万元的2022年中央支持污水管网改造项目完成投资800万元；总投资1200万元的2022年中央支持排水防涝改造项目正在开展前期工作。</w:t>
      </w:r>
    </w:p>
    <w:p w14:paraId="5E666BFE">
      <w:pPr>
        <w:keepNext w:val="0"/>
        <w:keepLines w:val="0"/>
        <w:pageBreakBefore w:val="0"/>
        <w:widowControl/>
        <w:kinsoku/>
        <w:wordWrap/>
        <w:overflowPunct/>
        <w:topLinePunct w:val="0"/>
        <w:autoSpaceDE/>
        <w:autoSpaceDN/>
        <w:bidi w:val="0"/>
        <w:adjustRightInd w:val="0"/>
        <w:snapToGrid w:val="0"/>
        <w:spacing w:after="0" w:line="600" w:lineRule="exact"/>
        <w:ind w:firstLine="684" w:firstLineChars="200"/>
        <w:jc w:val="both"/>
        <w:textAlignment w:val="auto"/>
        <w:rPr>
          <w:rFonts w:hint="eastAsia" w:ascii="仿宋_GB2312" w:hAnsi="仿宋_GB2312" w:eastAsia="仿宋_GB2312" w:cs="仿宋_GB2312"/>
          <w:sz w:val="32"/>
          <w:szCs w:val="32"/>
          <w:lang w:eastAsia="zh-CN"/>
        </w:rPr>
      </w:pPr>
      <w:r>
        <w:rPr>
          <w:rFonts w:hint="eastAsia" w:ascii="楷体_GB2312" w:hAnsi="楷体_GB2312" w:eastAsia="楷体_GB2312" w:cs="楷体_GB2312"/>
          <w:b w:val="0"/>
          <w:bCs w:val="0"/>
          <w:color w:val="auto"/>
          <w:spacing w:val="11"/>
          <w:kern w:val="0"/>
          <w:sz w:val="32"/>
          <w:szCs w:val="32"/>
          <w:highlight w:val="none"/>
          <w:lang w:val="en-US" w:eastAsia="zh-CN"/>
        </w:rPr>
        <w:t>（五）树牢为民情怀，人民生活水平稳步提升。</w:t>
      </w:r>
      <w:r>
        <w:rPr>
          <w:rFonts w:hint="eastAsia" w:ascii="仿宋_GB2312" w:hAnsi="仿宋_GB2312" w:eastAsia="仿宋_GB2312" w:cs="仿宋_GB2312"/>
          <w:b/>
          <w:bCs/>
          <w:sz w:val="32"/>
          <w:szCs w:val="32"/>
          <w:lang w:val="en-US" w:eastAsia="zh-CN"/>
        </w:rPr>
        <w:t>就业形势总体稳定</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sz w:val="32"/>
          <w:szCs w:val="32"/>
          <w:lang w:val="en-US" w:eastAsia="zh-CN"/>
        </w:rPr>
        <w:t>2022全年</w:t>
      </w:r>
      <w:r>
        <w:rPr>
          <w:rFonts w:hint="eastAsia" w:ascii="仿宋_GB2312" w:hAnsi="仿宋_GB2312" w:eastAsia="仿宋_GB2312" w:cs="仿宋_GB2312"/>
          <w:sz w:val="32"/>
          <w:szCs w:val="32"/>
          <w:lang w:eastAsia="zh-CN"/>
        </w:rPr>
        <w:t>城镇新增就业</w:t>
      </w:r>
      <w:r>
        <w:rPr>
          <w:rFonts w:hint="eastAsia" w:ascii="仿宋_GB2312" w:hAnsi="仿宋_GB2312" w:eastAsia="仿宋_GB2312" w:cs="仿宋_GB2312"/>
          <w:sz w:val="32"/>
          <w:szCs w:val="32"/>
          <w:lang w:val="en-US" w:eastAsia="zh-CN"/>
        </w:rPr>
        <w:t>405</w:t>
      </w:r>
      <w:r>
        <w:rPr>
          <w:rFonts w:hint="eastAsia" w:ascii="仿宋_GB2312" w:hAnsi="仿宋_GB2312" w:eastAsia="仿宋_GB2312" w:cs="仿宋_GB2312"/>
          <w:sz w:val="32"/>
          <w:szCs w:val="32"/>
          <w:lang w:eastAsia="zh-CN"/>
        </w:rPr>
        <w:t>人，</w:t>
      </w:r>
      <w:r>
        <w:rPr>
          <w:rFonts w:hint="eastAsia" w:ascii="仿宋_GB2312" w:hAnsi="仿宋_GB2312" w:eastAsia="仿宋_GB2312" w:cs="仿宋_GB2312"/>
          <w:sz w:val="32"/>
          <w:szCs w:val="32"/>
        </w:rPr>
        <w:t>城镇失业人员再就业</w:t>
      </w:r>
      <w:r>
        <w:rPr>
          <w:rFonts w:hint="eastAsia" w:ascii="仿宋_GB2312" w:hAnsi="仿宋_GB2312" w:eastAsia="仿宋_GB2312" w:cs="仿宋_GB2312"/>
          <w:sz w:val="32"/>
          <w:szCs w:val="32"/>
          <w:lang w:val="en-US" w:eastAsia="zh-CN"/>
        </w:rPr>
        <w:t>87</w:t>
      </w:r>
      <w:r>
        <w:rPr>
          <w:rFonts w:hint="eastAsia" w:ascii="仿宋_GB2312" w:hAnsi="仿宋_GB2312" w:eastAsia="仿宋_GB2312" w:cs="仿宋_GB2312"/>
          <w:sz w:val="32"/>
          <w:szCs w:val="32"/>
        </w:rPr>
        <w:t>人，就业困难人员就业</w:t>
      </w:r>
      <w:r>
        <w:rPr>
          <w:rFonts w:hint="eastAsia" w:ascii="仿宋_GB2312" w:hAnsi="仿宋_GB2312" w:eastAsia="仿宋_GB2312" w:cs="仿宋_GB2312"/>
          <w:sz w:val="32"/>
          <w:szCs w:val="32"/>
          <w:lang w:val="en-US" w:eastAsia="zh-CN"/>
        </w:rPr>
        <w:t>62</w:t>
      </w:r>
      <w:r>
        <w:rPr>
          <w:rFonts w:hint="eastAsia" w:ascii="仿宋_GB2312" w:hAnsi="仿宋_GB2312" w:eastAsia="仿宋_GB2312" w:cs="仿宋_GB2312"/>
          <w:sz w:val="32"/>
          <w:szCs w:val="32"/>
        </w:rPr>
        <w:t>人，农牧民转移就业</w:t>
      </w:r>
      <w:r>
        <w:rPr>
          <w:rFonts w:hint="eastAsia" w:ascii="仿宋_GB2312" w:hAnsi="仿宋_GB2312" w:eastAsia="仿宋_GB2312" w:cs="仿宋_GB2312"/>
          <w:sz w:val="32"/>
          <w:szCs w:val="32"/>
          <w:lang w:val="en-US" w:eastAsia="zh-CN"/>
        </w:rPr>
        <w:t>114</w:t>
      </w:r>
      <w:r>
        <w:rPr>
          <w:rFonts w:hint="eastAsia" w:ascii="仿宋_GB2312" w:hAnsi="仿宋_GB2312" w:eastAsia="仿宋_GB2312" w:cs="仿宋_GB2312"/>
          <w:sz w:val="32"/>
          <w:szCs w:val="32"/>
        </w:rPr>
        <w:t>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加大创业担保贷款对小微企业的扶持力度，扩大贷款政策覆盖范围，发放创业担保贷款</w:t>
      </w:r>
      <w:r>
        <w:rPr>
          <w:rFonts w:hint="eastAsia" w:ascii="仿宋_GB2312" w:hAnsi="仿宋_GB2312" w:eastAsia="仿宋_GB2312" w:cs="仿宋_GB2312"/>
          <w:color w:val="auto"/>
          <w:sz w:val="32"/>
          <w:szCs w:val="32"/>
          <w:lang w:val="en-US" w:eastAsia="zh-CN"/>
        </w:rPr>
        <w:t>365.5</w:t>
      </w:r>
      <w:r>
        <w:rPr>
          <w:rFonts w:hint="eastAsia" w:ascii="仿宋_GB2312" w:hAnsi="仿宋_GB2312" w:eastAsia="仿宋_GB2312" w:cs="仿宋_GB2312"/>
          <w:color w:val="auto"/>
          <w:sz w:val="32"/>
          <w:szCs w:val="32"/>
        </w:rPr>
        <w:t>万元</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sz w:val="32"/>
          <w:szCs w:val="32"/>
          <w:lang w:eastAsia="zh-CN"/>
        </w:rPr>
        <w:t>按时足额发放失业补助资金，认真落实“以工代训”政策，累计发放补贴</w:t>
      </w:r>
      <w:r>
        <w:rPr>
          <w:rFonts w:hint="eastAsia" w:ascii="仿宋_GB2312" w:hAnsi="仿宋_GB2312" w:eastAsia="仿宋_GB2312" w:cs="仿宋_GB2312"/>
          <w:sz w:val="32"/>
          <w:szCs w:val="32"/>
          <w:lang w:val="en-US" w:eastAsia="zh-CN"/>
        </w:rPr>
        <w:t>167.82</w:t>
      </w:r>
      <w:r>
        <w:rPr>
          <w:rFonts w:hint="eastAsia" w:ascii="仿宋_GB2312" w:hAnsi="仿宋_GB2312" w:eastAsia="仿宋_GB2312" w:cs="仿宋_GB2312"/>
          <w:sz w:val="32"/>
          <w:szCs w:val="32"/>
          <w:lang w:eastAsia="zh-CN"/>
        </w:rPr>
        <w:t>万元。</w:t>
      </w:r>
      <w:r>
        <w:rPr>
          <w:rFonts w:hint="eastAsia" w:ascii="仿宋_GB2312" w:hAnsi="仿宋_GB2312" w:eastAsia="仿宋_GB2312" w:cs="仿宋_GB2312"/>
          <w:b/>
          <w:bCs/>
          <w:sz w:val="32"/>
          <w:szCs w:val="32"/>
          <w:lang w:eastAsia="zh-CN"/>
        </w:rPr>
        <w:t>民生保障力度加大。</w:t>
      </w:r>
      <w:r>
        <w:rPr>
          <w:rFonts w:hint="eastAsia" w:ascii="仿宋_GB2312" w:hAnsi="仿宋_GB2312" w:eastAsia="仿宋_GB2312" w:cs="仿宋_GB2312"/>
          <w:sz w:val="32"/>
          <w:szCs w:val="32"/>
          <w:lang w:eastAsia="zh-CN"/>
        </w:rPr>
        <w:t>集中资源力量补齐短板，</w:t>
      </w:r>
      <w:r>
        <w:rPr>
          <w:rFonts w:hint="eastAsia" w:ascii="仿宋_GB2312" w:hAnsi="仿宋_GB2312" w:eastAsia="仿宋_GB2312" w:cs="仿宋_GB2312"/>
          <w:sz w:val="32"/>
          <w:szCs w:val="32"/>
          <w:lang w:val="en-US" w:eastAsia="zh-CN"/>
        </w:rPr>
        <w:t>2022年实施民生项目16个，总投资5969万元。已开工15个，开复工率94%，完成投资4626.5万元，其中：已竣工14个，完成投资3819万元。2022全年</w:t>
      </w:r>
      <w:r>
        <w:rPr>
          <w:rFonts w:hint="eastAsia" w:ascii="仿宋_GB2312" w:hAnsi="仿宋_GB2312" w:eastAsia="仿宋_GB2312" w:cs="仿宋_GB2312"/>
          <w:sz w:val="32"/>
          <w:szCs w:val="32"/>
        </w:rPr>
        <w:t>医疗、养老、失业、工伤、生育保险参保人数分别达到</w:t>
      </w:r>
      <w:r>
        <w:rPr>
          <w:rFonts w:hint="eastAsia" w:ascii="仿宋_GB2312" w:hAnsi="仿宋_GB2312" w:eastAsia="仿宋_GB2312" w:cs="仿宋_GB2312"/>
          <w:sz w:val="32"/>
          <w:szCs w:val="32"/>
          <w:lang w:val="en-US" w:eastAsia="zh-CN"/>
        </w:rPr>
        <w:t>53480</w:t>
      </w:r>
      <w:r>
        <w:rPr>
          <w:rFonts w:hint="eastAsia" w:ascii="仿宋_GB2312" w:hAnsi="仿宋_GB2312" w:eastAsia="仿宋_GB2312" w:cs="仿宋_GB2312"/>
          <w:sz w:val="32"/>
          <w:szCs w:val="32"/>
        </w:rPr>
        <w:t>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39695</w:t>
      </w:r>
      <w:r>
        <w:rPr>
          <w:rFonts w:hint="eastAsia" w:ascii="仿宋_GB2312" w:hAnsi="仿宋_GB2312" w:eastAsia="仿宋_GB2312" w:cs="仿宋_GB2312"/>
          <w:sz w:val="32"/>
          <w:szCs w:val="32"/>
        </w:rPr>
        <w:t>人、10000人、</w:t>
      </w:r>
      <w:r>
        <w:rPr>
          <w:rFonts w:hint="eastAsia" w:ascii="仿宋_GB2312" w:hAnsi="仿宋_GB2312" w:eastAsia="仿宋_GB2312" w:cs="仿宋_GB2312"/>
          <w:sz w:val="32"/>
          <w:szCs w:val="32"/>
          <w:lang w:val="en-US" w:eastAsia="zh-CN"/>
        </w:rPr>
        <w:t>13394</w:t>
      </w:r>
      <w:r>
        <w:rPr>
          <w:rFonts w:hint="eastAsia" w:ascii="仿宋_GB2312" w:hAnsi="仿宋_GB2312" w:eastAsia="仿宋_GB2312" w:cs="仿宋_GB2312"/>
          <w:sz w:val="32"/>
          <w:szCs w:val="32"/>
        </w:rPr>
        <w:t>人、</w:t>
      </w:r>
      <w:r>
        <w:rPr>
          <w:rFonts w:hint="eastAsia" w:ascii="仿宋_GB2312" w:hAnsi="仿宋_GB2312" w:eastAsia="仿宋_GB2312" w:cs="仿宋_GB2312"/>
          <w:sz w:val="32"/>
          <w:szCs w:val="32"/>
          <w:lang w:val="en-US" w:eastAsia="zh-CN"/>
        </w:rPr>
        <w:t>12201</w:t>
      </w:r>
      <w:r>
        <w:rPr>
          <w:rFonts w:hint="eastAsia" w:ascii="仿宋_GB2312" w:hAnsi="仿宋_GB2312" w:eastAsia="仿宋_GB2312" w:cs="仿宋_GB2312"/>
          <w:sz w:val="32"/>
          <w:szCs w:val="32"/>
        </w:rPr>
        <w:t>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b/>
          <w:bCs/>
          <w:sz w:val="32"/>
          <w:szCs w:val="32"/>
          <w:lang w:eastAsia="zh-CN"/>
        </w:rPr>
        <w:t>全力做好保供稳价。</w:t>
      </w:r>
      <w:r>
        <w:rPr>
          <w:rFonts w:hint="eastAsia" w:ascii="仿宋_GB2312" w:hAnsi="仿宋_GB2312" w:eastAsia="仿宋_GB2312" w:cs="仿宋_GB2312"/>
          <w:sz w:val="32"/>
          <w:szCs w:val="32"/>
          <w:lang w:val="en-US" w:eastAsia="zh-CN"/>
        </w:rPr>
        <w:t>抓好粮油肉蛋菜和其他生活必需品供应，加强节日期间消费品质量、价格和食品安全监管，持续加强价格监测，确保市场平稳有序。</w:t>
      </w:r>
      <w:r>
        <w:rPr>
          <w:rFonts w:hint="eastAsia" w:ascii="仿宋_GB2312" w:hAnsi="仿宋_GB2312" w:eastAsia="仿宋_GB2312" w:cs="仿宋_GB2312"/>
          <w:b/>
          <w:bCs/>
          <w:sz w:val="32"/>
          <w:szCs w:val="32"/>
        </w:rPr>
        <w:t>社会事业繁荣发展。</w:t>
      </w:r>
      <w:r>
        <w:rPr>
          <w:rFonts w:hint="eastAsia" w:ascii="仿宋_GB2312" w:hAnsi="仿宋_GB2312" w:eastAsia="仿宋_GB2312" w:cs="仿宋_GB2312"/>
          <w:sz w:val="32"/>
          <w:szCs w:val="32"/>
          <w:lang w:val="en-US" w:eastAsia="zh-CN"/>
        </w:rPr>
        <w:t>持续加强铸牢中华民族共同体意识教育，做好使用国家通用语言文字教育教学工作；“双减”政策落地见效，民族小学宿舍楼工程、鸿嘎鲁民族幼儿园多功能活动室、第一中学教学楼等建成投用；</w:t>
      </w:r>
      <w:r>
        <w:rPr>
          <w:rFonts w:hint="eastAsia" w:ascii="仿宋_GB2312" w:hAnsi="仿宋_GB2312" w:eastAsia="仿宋_GB2312" w:cs="仿宋_GB2312"/>
          <w:sz w:val="32"/>
          <w:szCs w:val="32"/>
        </w:rPr>
        <w:t>持续推进惠民演出力度，共开展各类演出3</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场</w:t>
      </w:r>
      <w:r>
        <w:rPr>
          <w:rFonts w:hint="eastAsia" w:ascii="仿宋_GB2312" w:hAnsi="仿宋_GB2312" w:eastAsia="仿宋_GB2312" w:cs="仿宋_GB2312"/>
          <w:sz w:val="32"/>
          <w:szCs w:val="32"/>
          <w:lang w:eastAsia="zh-CN"/>
        </w:rPr>
        <w:t>；积极争取上级资金，助推</w:t>
      </w:r>
      <w:r>
        <w:rPr>
          <w:rFonts w:hint="eastAsia" w:ascii="仿宋_GB2312" w:hAnsi="仿宋_GB2312" w:eastAsia="仿宋_GB2312" w:cs="仿宋_GB2312"/>
          <w:sz w:val="32"/>
          <w:szCs w:val="32"/>
          <w:lang w:val="en-US" w:eastAsia="zh-CN"/>
        </w:rPr>
        <w:t>教体、医疗卫生事业</w:t>
      </w:r>
      <w:r>
        <w:rPr>
          <w:rFonts w:hint="eastAsia" w:ascii="仿宋_GB2312" w:hAnsi="仿宋_GB2312" w:eastAsia="仿宋_GB2312" w:cs="仿宋_GB2312"/>
          <w:sz w:val="32"/>
          <w:szCs w:val="32"/>
          <w:lang w:eastAsia="zh-CN"/>
        </w:rPr>
        <w:t>健康发展</w:t>
      </w:r>
      <w:r>
        <w:rPr>
          <w:rFonts w:hint="eastAsia" w:ascii="仿宋_GB2312" w:hAnsi="仿宋_GB2312" w:eastAsia="仿宋_GB2312" w:cs="仿宋_GB2312"/>
          <w:sz w:val="32"/>
          <w:szCs w:val="32"/>
          <w:lang w:val="en-US" w:eastAsia="zh-CN"/>
        </w:rPr>
        <w:t>。总投资1085万元的全民健身中心建设项目、</w:t>
      </w:r>
      <w:r>
        <w:rPr>
          <w:rFonts w:hint="eastAsia" w:ascii="仿宋_GB2312" w:hAnsi="仿宋_GB2312" w:eastAsia="仿宋_GB2312" w:cs="仿宋_GB2312"/>
          <w:sz w:val="32"/>
          <w:szCs w:val="32"/>
          <w:lang w:eastAsia="zh-CN"/>
        </w:rPr>
        <w:t>总</w:t>
      </w:r>
      <w:r>
        <w:rPr>
          <w:rFonts w:hint="eastAsia" w:ascii="仿宋_GB2312" w:hAnsi="仿宋_GB2312" w:eastAsia="仿宋_GB2312" w:cs="仿宋_GB2312"/>
          <w:sz w:val="32"/>
          <w:szCs w:val="32"/>
        </w:rPr>
        <w:t>投资</w:t>
      </w:r>
      <w:r>
        <w:rPr>
          <w:rFonts w:hint="eastAsia" w:ascii="仿宋_GB2312" w:hAnsi="仿宋_GB2312" w:eastAsia="仿宋_GB2312" w:cs="仿宋_GB2312"/>
          <w:sz w:val="32"/>
          <w:szCs w:val="32"/>
          <w:lang w:val="en-US" w:eastAsia="zh-CN"/>
        </w:rPr>
        <w:t>1900万元的</w:t>
      </w:r>
      <w:r>
        <w:rPr>
          <w:rFonts w:hint="eastAsia" w:ascii="仿宋_GB2312" w:hAnsi="仿宋_GB2312" w:eastAsia="仿宋_GB2312" w:cs="仿宋_GB2312"/>
          <w:sz w:val="32"/>
          <w:szCs w:val="32"/>
          <w:lang w:eastAsia="zh-CN"/>
        </w:rPr>
        <w:t>总工会职工活动中心建设项目</w:t>
      </w:r>
      <w:r>
        <w:rPr>
          <w:rFonts w:hint="eastAsia" w:ascii="仿宋_GB2312" w:hAnsi="仿宋_GB2312" w:eastAsia="仿宋_GB2312" w:cs="仿宋_GB2312"/>
          <w:sz w:val="32"/>
          <w:szCs w:val="32"/>
          <w:lang w:val="en-US" w:eastAsia="zh-CN"/>
        </w:rPr>
        <w:t>均已竣工。</w:t>
      </w:r>
      <w:r>
        <w:rPr>
          <w:rFonts w:hint="eastAsia" w:ascii="仿宋_GB2312" w:hAnsi="仿宋_GB2312" w:eastAsia="仿宋_GB2312" w:cs="仿宋_GB2312"/>
          <w:b/>
          <w:bCs/>
          <w:sz w:val="32"/>
          <w:szCs w:val="32"/>
        </w:rPr>
        <w:t>持续抓好疫情防控。</w:t>
      </w:r>
      <w:r>
        <w:rPr>
          <w:rFonts w:hint="eastAsia" w:ascii="仿宋_GB2312" w:hAnsi="仿宋_GB2312" w:eastAsia="仿宋_GB2312" w:cs="仿宋_GB2312"/>
          <w:sz w:val="32"/>
          <w:szCs w:val="32"/>
          <w:lang w:val="en-US" w:eastAsia="zh-CN"/>
        </w:rPr>
        <w:t>坚持人民至上、生命至上，及时准确、不折不扣落实国家疫情防控“二十条”和“新十条”政策举措，有力有序有效处置多轮突发疫情，完善方舱医院等救治医疗设施;圆满完成驻呼高校学生返乡接收工作。</w:t>
      </w:r>
      <w:r>
        <w:rPr>
          <w:rFonts w:hint="eastAsia" w:ascii="仿宋_GB2312" w:hAnsi="仿宋_GB2312" w:eastAsia="仿宋_GB2312" w:cs="仿宋_GB2312"/>
          <w:b/>
          <w:bCs/>
          <w:sz w:val="32"/>
          <w:szCs w:val="32"/>
        </w:rPr>
        <w:t>维护社会</w:t>
      </w:r>
      <w:r>
        <w:rPr>
          <w:rFonts w:hint="eastAsia" w:ascii="仿宋_GB2312" w:hAnsi="仿宋_GB2312" w:eastAsia="仿宋_GB2312" w:cs="仿宋_GB2312"/>
          <w:b/>
          <w:bCs/>
          <w:sz w:val="32"/>
          <w:szCs w:val="32"/>
          <w:lang w:eastAsia="zh-CN"/>
        </w:rPr>
        <w:t>和谐</w:t>
      </w:r>
      <w:r>
        <w:rPr>
          <w:rFonts w:hint="eastAsia" w:ascii="仿宋_GB2312" w:hAnsi="仿宋_GB2312" w:eastAsia="仿宋_GB2312" w:cs="仿宋_GB2312"/>
          <w:b/>
          <w:bCs/>
          <w:sz w:val="32"/>
          <w:szCs w:val="32"/>
        </w:rPr>
        <w:t>稳定。</w:t>
      </w:r>
      <w:r>
        <w:rPr>
          <w:rFonts w:hint="eastAsia" w:ascii="仿宋_GB2312" w:hAnsi="仿宋_GB2312" w:eastAsia="仿宋_GB2312" w:cs="仿宋_GB2312"/>
          <w:sz w:val="32"/>
          <w:szCs w:val="32"/>
          <w:lang w:val="en-US" w:eastAsia="zh-CN"/>
        </w:rPr>
        <w:t>实现全国“两会”“两奥”党的二十大</w:t>
      </w:r>
      <w:bookmarkStart w:id="0" w:name="_GoBack"/>
      <w:bookmarkEnd w:id="0"/>
      <w:r>
        <w:rPr>
          <w:rFonts w:hint="eastAsia" w:ascii="仿宋_GB2312" w:hAnsi="仿宋_GB2312" w:eastAsia="仿宋_GB2312" w:cs="仿宋_GB2312"/>
          <w:sz w:val="32"/>
          <w:szCs w:val="32"/>
          <w:lang w:val="en-US" w:eastAsia="zh-CN"/>
        </w:rPr>
        <w:t>等重要敏感时间节点“四个不发生”</w:t>
      </w:r>
      <w:r>
        <w:rPr>
          <w:rFonts w:hint="eastAsia" w:ascii="仿宋_GB2312" w:hAnsi="仿宋_GB2312" w:eastAsia="仿宋_GB2312" w:cs="仿宋_GB2312"/>
          <w:color w:val="000000" w:themeColor="text1"/>
          <w:sz w:val="32"/>
          <w:szCs w:val="32"/>
          <w:shd w:val="clear" w:color="auto" w:fill="FFFFFF"/>
          <w:vertAlign w:val="superscript"/>
          <w14:textFill>
            <w14:solidFill>
              <w14:schemeClr w14:val="tx1"/>
            </w14:solidFill>
          </w14:textFill>
        </w:rPr>
        <w:t>②</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eastAsia="zh-CN"/>
        </w:rPr>
        <w:t>全面推进市域社会治理现代化试点合格城市创建工作，</w:t>
      </w:r>
      <w:r>
        <w:rPr>
          <w:rFonts w:hint="eastAsia" w:ascii="仿宋_GB2312" w:hAnsi="仿宋_GB2312" w:eastAsia="仿宋_GB2312" w:cs="仿宋_GB2312"/>
          <w:sz w:val="32"/>
          <w:szCs w:val="32"/>
          <w:lang w:val="en-US" w:eastAsia="zh-CN"/>
        </w:rPr>
        <w:t>常态化开展扫黑除恶斗争，</w:t>
      </w:r>
      <w:r>
        <w:rPr>
          <w:rFonts w:hint="eastAsia" w:ascii="仿宋_GB2312" w:hAnsi="仿宋_GB2312" w:eastAsia="仿宋_GB2312" w:cs="仿宋_GB2312"/>
          <w:sz w:val="32"/>
          <w:szCs w:val="32"/>
          <w:lang w:eastAsia="zh-CN"/>
        </w:rPr>
        <w:t>社会矛盾纠纷得到有效化解；</w:t>
      </w:r>
      <w:r>
        <w:rPr>
          <w:rFonts w:hint="eastAsia" w:ascii="仿宋_GB2312" w:hAnsi="仿宋_GB2312" w:eastAsia="仿宋_GB2312" w:cs="仿宋_GB2312"/>
          <w:sz w:val="32"/>
          <w:szCs w:val="32"/>
          <w:lang w:val="en-US" w:eastAsia="zh-CN"/>
        </w:rPr>
        <w:t>加强防灾减灾和应急管理工作</w:t>
      </w:r>
      <w:r>
        <w:rPr>
          <w:rFonts w:hint="eastAsia" w:ascii="仿宋_GB2312" w:hAnsi="仿宋_GB2312" w:eastAsia="仿宋_GB2312" w:cs="仿宋_GB2312"/>
          <w:sz w:val="32"/>
          <w:szCs w:val="32"/>
          <w:lang w:eastAsia="zh-CN"/>
        </w:rPr>
        <w:t>，安全生产、粮食安全、食品安全形势平稳；深入贯彻总体国家安全观，持续强化各领域风险隐患排查化解工作，全力维护社会大局安全稳定。</w:t>
      </w:r>
      <w:r>
        <w:rPr>
          <w:rFonts w:hint="eastAsia" w:ascii="仿宋_GB2312" w:hAnsi="仿宋_GB2312" w:eastAsia="仿宋_GB2312" w:cs="仿宋_GB2312"/>
          <w:sz w:val="32"/>
          <w:szCs w:val="32"/>
          <w:lang w:eastAsia="zh-CN"/>
        </w:rPr>
        <w:br w:type="textWrapping"/>
      </w:r>
      <w:r>
        <w:rPr>
          <w:rFonts w:hint="eastAsia" w:ascii="仿宋_GB2312" w:hAnsi="仿宋_GB2312" w:eastAsia="仿宋_GB2312" w:cs="仿宋_GB2312"/>
          <w:sz w:val="32"/>
          <w:szCs w:val="32"/>
          <w:lang w:val="en-US" w:eastAsia="zh-CN"/>
        </w:rPr>
        <w:t xml:space="preserve">    </w:t>
      </w:r>
      <w:r>
        <w:rPr>
          <w:rFonts w:hint="eastAsia" w:ascii="楷体_GB2312" w:hAnsi="楷体_GB2312" w:eastAsia="楷体_GB2312" w:cs="楷体_GB2312"/>
          <w:b w:val="0"/>
          <w:bCs w:val="0"/>
          <w:color w:val="auto"/>
          <w:spacing w:val="11"/>
          <w:kern w:val="0"/>
          <w:sz w:val="32"/>
          <w:szCs w:val="32"/>
          <w:highlight w:val="none"/>
          <w:lang w:val="en-US" w:eastAsia="zh-CN"/>
        </w:rPr>
        <w:t>（六）提升服务水平，创新发展活力持续增强。</w:t>
      </w:r>
      <w:r>
        <w:rPr>
          <w:rFonts w:hint="eastAsia" w:ascii="仿宋_GB2312" w:hAnsi="仿宋_GB2312" w:eastAsia="仿宋_GB2312" w:cs="仿宋_GB2312"/>
          <w:b/>
          <w:bCs/>
          <w:sz w:val="32"/>
          <w:szCs w:val="32"/>
          <w:lang w:val="en-US" w:eastAsia="zh-CN"/>
        </w:rPr>
        <w:t>强力攻坚抓好招商引资。</w:t>
      </w:r>
      <w:r>
        <w:rPr>
          <w:rFonts w:hint="eastAsia" w:ascii="仿宋_GB2312" w:hAnsi="仿宋_GB2312" w:eastAsia="仿宋_GB2312" w:cs="仿宋_GB2312"/>
          <w:sz w:val="32"/>
          <w:szCs w:val="32"/>
          <w:lang w:val="en-US" w:eastAsia="zh-CN"/>
        </w:rPr>
        <w:t>稳步推进招商引资工作计划，依托产业基础和特色优势，做好项目布局、产业配套、要素保障，吸引优质企业、先进企业落地。2022年我旗招商引资项目17个，累计到位资金2.27亿元，其中：区外投资项目16个，累计到位资金2.07亿元；区内投资项目1个，累计到位资金2000万元。</w:t>
      </w:r>
      <w:r>
        <w:rPr>
          <w:rFonts w:hint="eastAsia" w:ascii="仿宋_GB2312" w:hAnsi="仿宋_GB2312" w:eastAsia="仿宋_GB2312" w:cs="仿宋_GB2312"/>
          <w:b/>
          <w:bCs/>
          <w:sz w:val="32"/>
          <w:szCs w:val="32"/>
        </w:rPr>
        <w:t>改革开放持续深化</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sz w:val="32"/>
          <w:szCs w:val="32"/>
          <w:lang w:val="en-US" w:eastAsia="zh-CN"/>
        </w:rPr>
        <w:t>推动“一网通办”改革，推进“综合一窗受理”模式，“蒙速办·一次办综合服务区”已纳入34个部门1346件事项；推进“12345”政务服务便民热线工作，2022年完成工单1017件。</w:t>
      </w:r>
      <w:r>
        <w:rPr>
          <w:rFonts w:hint="eastAsia" w:ascii="仿宋_GB2312" w:hAnsi="仿宋_GB2312" w:eastAsia="仿宋_GB2312" w:cs="仿宋_GB2312"/>
          <w:b/>
          <w:bCs/>
          <w:sz w:val="32"/>
          <w:szCs w:val="32"/>
        </w:rPr>
        <w:t>营商环境不断优化。</w:t>
      </w:r>
      <w:r>
        <w:rPr>
          <w:rFonts w:hint="eastAsia" w:ascii="仿宋_GB2312" w:hAnsi="仿宋_GB2312" w:eastAsia="仿宋_GB2312" w:cs="仿宋_GB2312"/>
          <w:sz w:val="32"/>
          <w:szCs w:val="32"/>
          <w:lang w:val="en-US" w:eastAsia="zh-CN"/>
        </w:rPr>
        <w:t>深入贯彻全区优化营商环境大会精神，认真落实《内蒙古自治区以更优营商环境服务市场主体行动方案》（3.0版），持续</w:t>
      </w:r>
      <w:r>
        <w:rPr>
          <w:rFonts w:hint="eastAsia" w:ascii="仿宋_GB2312" w:hAnsi="仿宋_GB2312" w:eastAsia="仿宋_GB2312" w:cs="仿宋_GB2312"/>
          <w:sz w:val="32"/>
          <w:szCs w:val="32"/>
          <w:lang w:eastAsia="zh-CN"/>
        </w:rPr>
        <w:t>推进“蒙企通”民营企业综合服务平台建设工作，</w:t>
      </w:r>
      <w:r>
        <w:rPr>
          <w:rFonts w:hint="eastAsia" w:ascii="仿宋_GB2312" w:hAnsi="仿宋_GB2312" w:eastAsia="仿宋_GB2312" w:cs="仿宋_GB2312"/>
          <w:sz w:val="32"/>
          <w:szCs w:val="32"/>
          <w:lang w:val="en-US" w:eastAsia="zh-CN"/>
        </w:rPr>
        <w:t>2022全年累计注册市场主体543户，发布惠企政策65条，诉求好评率100%</w:t>
      </w:r>
      <w:r>
        <w:rPr>
          <w:rFonts w:hint="eastAsia" w:ascii="仿宋_GB2312" w:hAnsi="仿宋_GB2312" w:eastAsia="仿宋_GB2312" w:cs="仿宋_GB2312"/>
          <w:sz w:val="32"/>
          <w:szCs w:val="32"/>
          <w:lang w:eastAsia="zh-CN"/>
        </w:rPr>
        <w:t>。</w:t>
      </w:r>
    </w:p>
    <w:p w14:paraId="1059BF86">
      <w:pPr>
        <w:keepNext w:val="0"/>
        <w:keepLines w:val="0"/>
        <w:pageBreakBefore w:val="0"/>
        <w:widowControl/>
        <w:kinsoku/>
        <w:wordWrap/>
        <w:overflowPunct/>
        <w:topLinePunct w:val="0"/>
        <w:autoSpaceDE/>
        <w:autoSpaceDN/>
        <w:bidi w:val="0"/>
        <w:adjustRightInd w:val="0"/>
        <w:snapToGrid w:val="0"/>
        <w:spacing w:after="0" w:line="60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各位代表，202</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是党和国家历史上极为重要的一年。</w:t>
      </w:r>
      <w:r>
        <w:rPr>
          <w:rFonts w:hint="eastAsia" w:ascii="仿宋_GB2312" w:hAnsi="仿宋_GB2312" w:eastAsia="仿宋_GB2312" w:cs="仿宋_GB2312"/>
          <w:sz w:val="32"/>
          <w:szCs w:val="32"/>
          <w:lang w:eastAsia="zh-CN"/>
        </w:rPr>
        <w:t>全旗上下</w:t>
      </w:r>
      <w:r>
        <w:rPr>
          <w:rFonts w:hint="eastAsia" w:ascii="仿宋_GB2312" w:hAnsi="仿宋_GB2312" w:eastAsia="仿宋_GB2312" w:cs="仿宋_GB2312"/>
          <w:sz w:val="32"/>
          <w:szCs w:val="32"/>
          <w:lang w:val="en-US" w:eastAsia="zh-CN"/>
        </w:rPr>
        <w:t>迎难而上</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砥砺前行，有效应对错综复杂的外部环境，</w:t>
      </w:r>
      <w:r>
        <w:rPr>
          <w:rFonts w:hint="eastAsia" w:ascii="仿宋_GB2312" w:hAnsi="仿宋_GB2312" w:eastAsia="仿宋_GB2312" w:cs="仿宋_GB2312"/>
          <w:sz w:val="32"/>
          <w:szCs w:val="32"/>
          <w:lang w:val="en-US" w:eastAsia="zh-CN"/>
        </w:rPr>
        <w:t>高效</w:t>
      </w:r>
      <w:r>
        <w:rPr>
          <w:rFonts w:hint="eastAsia" w:ascii="仿宋_GB2312" w:hAnsi="仿宋_GB2312" w:eastAsia="仿宋_GB2312" w:cs="仿宋_GB2312"/>
          <w:sz w:val="32"/>
          <w:szCs w:val="32"/>
        </w:rPr>
        <w:t>统筹做好疫情防控和经济社会发展工作，</w:t>
      </w:r>
      <w:r>
        <w:rPr>
          <w:rFonts w:hint="eastAsia" w:ascii="仿宋_GB2312" w:hAnsi="仿宋_GB2312" w:eastAsia="仿宋_GB2312" w:cs="仿宋_GB2312"/>
          <w:sz w:val="32"/>
          <w:szCs w:val="32"/>
          <w:lang w:val="en-US" w:eastAsia="zh-CN"/>
        </w:rPr>
        <w:t>全旗上下抓发展、稳投资、大招商、强基础、促增收等制度机制全面优化提升，</w:t>
      </w:r>
      <w:r>
        <w:rPr>
          <w:rFonts w:hint="eastAsia" w:ascii="仿宋_GB2312" w:hAnsi="仿宋_GB2312" w:eastAsia="仿宋_GB2312" w:cs="仿宋_GB2312"/>
          <w:sz w:val="32"/>
          <w:szCs w:val="32"/>
        </w:rPr>
        <w:t>经济运行</w:t>
      </w:r>
      <w:r>
        <w:rPr>
          <w:rFonts w:hint="eastAsia" w:ascii="仿宋_GB2312" w:hAnsi="仿宋_GB2312" w:eastAsia="仿宋_GB2312" w:cs="仿宋_GB2312"/>
          <w:sz w:val="32"/>
          <w:szCs w:val="32"/>
          <w:lang w:val="en-US" w:eastAsia="zh-CN"/>
        </w:rPr>
        <w:t>呈稳步增长发展态势</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发展质量稳步提升，保持了经济社会大局稳定。</w:t>
      </w:r>
      <w:r>
        <w:rPr>
          <w:rFonts w:hint="eastAsia" w:ascii="仿宋_GB2312" w:hAnsi="仿宋_GB2312" w:eastAsia="仿宋_GB2312" w:cs="仿宋_GB2312"/>
          <w:sz w:val="32"/>
          <w:szCs w:val="32"/>
          <w:lang w:val="en-US" w:eastAsia="zh-CN"/>
        </w:rPr>
        <w:br w:type="textWrapping"/>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在肯定成绩的同时，也要清醒地认识到我旗经济社会发展还存在</w:t>
      </w:r>
      <w:r>
        <w:rPr>
          <w:rFonts w:hint="eastAsia" w:ascii="仿宋_GB2312" w:hAnsi="仿宋_GB2312" w:eastAsia="仿宋_GB2312" w:cs="仿宋_GB2312"/>
          <w:sz w:val="32"/>
          <w:szCs w:val="32"/>
          <w:lang w:val="en-US" w:eastAsia="zh-CN"/>
        </w:rPr>
        <w:t>不少风险挑战</w:t>
      </w:r>
      <w:r>
        <w:rPr>
          <w:rFonts w:hint="eastAsia" w:ascii="仿宋_GB2312" w:hAnsi="仿宋_GB2312" w:eastAsia="仿宋_GB2312" w:cs="仿宋_GB2312"/>
          <w:sz w:val="32"/>
          <w:szCs w:val="32"/>
        </w:rPr>
        <w:t>：</w:t>
      </w:r>
      <w:r>
        <w:rPr>
          <w:rFonts w:hint="eastAsia" w:ascii="仿宋_GB2312" w:hAnsi="仿宋_GB2312" w:eastAsia="仿宋_GB2312" w:cs="仿宋_GB2312"/>
          <w:b/>
          <w:bCs/>
          <w:sz w:val="32"/>
          <w:szCs w:val="32"/>
        </w:rPr>
        <w:t>一是</w:t>
      </w:r>
      <w:r>
        <w:rPr>
          <w:rFonts w:hint="eastAsia" w:ascii="仿宋_GB2312" w:hAnsi="仿宋_GB2312" w:eastAsia="仿宋_GB2312" w:cs="仿宋_GB2312"/>
          <w:sz w:val="32"/>
          <w:szCs w:val="32"/>
          <w:lang w:val="en-US" w:eastAsia="zh-CN"/>
        </w:rPr>
        <w:t>外部环境仍然复杂多变，不稳定、不确定、难预料成为常态，经济运行面临下行压力加大</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服务业、中下游行业和中小微企业受疫情等因素影响较大，刺激消费政策叠加效应还需持续释放，市场主体信心和活力亟待加强，营商环境还需进一步优化；</w:t>
      </w:r>
      <w:r>
        <w:rPr>
          <w:rFonts w:hint="eastAsia" w:ascii="仿宋_GB2312" w:hAnsi="仿宋_GB2312" w:eastAsia="仿宋_GB2312" w:cs="仿宋_GB2312"/>
          <w:b/>
          <w:bCs/>
          <w:sz w:val="32"/>
          <w:szCs w:val="32"/>
          <w:lang w:val="en-US" w:eastAsia="zh-CN"/>
        </w:rPr>
        <w:t>二是</w:t>
      </w:r>
      <w:r>
        <w:rPr>
          <w:rFonts w:hint="eastAsia" w:ascii="仿宋_GB2312" w:hAnsi="仿宋_GB2312" w:eastAsia="仿宋_GB2312" w:cs="仿宋_GB2312"/>
          <w:sz w:val="32"/>
          <w:szCs w:val="32"/>
        </w:rPr>
        <w:t>转型发展任务艰巨。</w:t>
      </w:r>
      <w:r>
        <w:rPr>
          <w:rFonts w:hint="eastAsia" w:ascii="仿宋_GB2312" w:hAnsi="仿宋_GB2312" w:eastAsia="仿宋_GB2312" w:cs="仿宋_GB2312"/>
          <w:sz w:val="32"/>
          <w:szCs w:val="32"/>
          <w:lang w:val="en-US" w:eastAsia="zh-CN"/>
        </w:rPr>
        <w:t>新兴产业发展速度偏慢，产业发展和招商引资工作将面临愈发激烈的竞争，生态优势、资源优势还没有完全转化为发展优势；</w:t>
      </w:r>
      <w:r>
        <w:rPr>
          <w:rFonts w:hint="eastAsia" w:ascii="仿宋_GB2312" w:hAnsi="仿宋_GB2312" w:eastAsia="仿宋_GB2312" w:cs="仿宋_GB2312"/>
          <w:b/>
          <w:bCs/>
          <w:sz w:val="32"/>
          <w:szCs w:val="32"/>
          <w:lang w:val="en-US" w:eastAsia="zh-CN"/>
        </w:rPr>
        <w:t>三</w:t>
      </w:r>
      <w:r>
        <w:rPr>
          <w:rFonts w:hint="eastAsia" w:ascii="仿宋_GB2312" w:hAnsi="仿宋_GB2312" w:eastAsia="仿宋_GB2312" w:cs="仿宋_GB2312"/>
          <w:b/>
          <w:bCs/>
          <w:sz w:val="32"/>
          <w:szCs w:val="32"/>
        </w:rPr>
        <w:t>是</w:t>
      </w:r>
      <w:r>
        <w:rPr>
          <w:rFonts w:hint="eastAsia" w:ascii="仿宋_GB2312" w:hAnsi="仿宋_GB2312" w:eastAsia="仿宋_GB2312" w:cs="仿宋_GB2312"/>
          <w:sz w:val="32"/>
          <w:szCs w:val="32"/>
        </w:rPr>
        <w:t>防范化解重大风险压力仍然较大，财政收支矛盾突出，融资渠道收紧，地方政府性债务等风险隐患不容忽视。</w:t>
      </w:r>
    </w:p>
    <w:p w14:paraId="5A9FA85C">
      <w:pPr>
        <w:keepNext w:val="0"/>
        <w:keepLines w:val="0"/>
        <w:pageBreakBefore w:val="0"/>
        <w:widowControl/>
        <w:kinsoku/>
        <w:wordWrap/>
        <w:overflowPunct/>
        <w:topLinePunct w:val="0"/>
        <w:autoSpaceDE/>
        <w:autoSpaceDN/>
        <w:bidi w:val="0"/>
        <w:adjustRightInd w:val="0"/>
        <w:snapToGrid w:val="0"/>
        <w:spacing w:after="0" w:line="600" w:lineRule="exact"/>
        <w:ind w:firstLine="640" w:firstLineChars="200"/>
        <w:jc w:val="both"/>
        <w:textAlignment w:val="auto"/>
        <w:rPr>
          <w:rFonts w:hint="eastAsia" w:ascii="仿宋_GB2312" w:hAnsi="仿宋_GB2312" w:eastAsia="仿宋_GB2312" w:cs="仿宋_GB2312"/>
          <w:sz w:val="32"/>
          <w:szCs w:val="32"/>
        </w:rPr>
      </w:pPr>
      <w:r>
        <w:rPr>
          <w:rFonts w:hint="eastAsia" w:ascii="黑体" w:hAnsi="黑体" w:eastAsia="黑体" w:cs="黑体"/>
          <w:sz w:val="32"/>
          <w:szCs w:val="32"/>
        </w:rPr>
        <w:t>二、202</w:t>
      </w:r>
      <w:r>
        <w:rPr>
          <w:rFonts w:hint="eastAsia" w:ascii="黑体" w:hAnsi="黑体" w:eastAsia="黑体" w:cs="黑体"/>
          <w:sz w:val="32"/>
          <w:szCs w:val="32"/>
          <w:lang w:val="en-US" w:eastAsia="zh-CN"/>
        </w:rPr>
        <w:t>3</w:t>
      </w:r>
      <w:r>
        <w:rPr>
          <w:rFonts w:hint="eastAsia" w:ascii="黑体" w:hAnsi="黑体" w:eastAsia="黑体" w:cs="黑体"/>
          <w:sz w:val="32"/>
          <w:szCs w:val="32"/>
        </w:rPr>
        <w:t>年工作目标和任务</w:t>
      </w:r>
    </w:p>
    <w:p w14:paraId="2377DFD0">
      <w:pPr>
        <w:keepNext w:val="0"/>
        <w:keepLines w:val="0"/>
        <w:pageBreakBefore w:val="0"/>
        <w:widowControl/>
        <w:kinsoku/>
        <w:wordWrap/>
        <w:overflowPunct/>
        <w:topLinePunct w:val="0"/>
        <w:autoSpaceDE/>
        <w:autoSpaceDN/>
        <w:bidi w:val="0"/>
        <w:adjustRightInd w:val="0"/>
        <w:snapToGrid w:val="0"/>
        <w:spacing w:after="0"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年经济社会发展的总体要求是：始终坚持以习近平新时代中国特色社会主义思想为指导，</w:t>
      </w:r>
      <w:r>
        <w:rPr>
          <w:rFonts w:hint="eastAsia" w:ascii="仿宋_GB2312" w:hAnsi="仿宋_GB2312" w:eastAsia="仿宋_GB2312" w:cs="仿宋_GB2312"/>
          <w:sz w:val="32"/>
          <w:szCs w:val="32"/>
          <w:lang w:val="en-US" w:eastAsia="zh-CN"/>
        </w:rPr>
        <w:t>全面贯彻党的二十大、中央经济工作会议和习近平总书记对内蒙古重要讲话和重要指示批示精神，</w:t>
      </w:r>
      <w:r>
        <w:rPr>
          <w:rFonts w:hint="eastAsia" w:ascii="仿宋_GB2312" w:hAnsi="仿宋_GB2312" w:eastAsia="仿宋_GB2312" w:cs="仿宋_GB2312"/>
          <w:sz w:val="32"/>
          <w:szCs w:val="32"/>
        </w:rPr>
        <w:t>认真落实中国共产党呼伦贝尔市第五届委员会第</w:t>
      </w:r>
      <w:r>
        <w:rPr>
          <w:rFonts w:hint="eastAsia" w:ascii="仿宋_GB2312" w:hAnsi="仿宋_GB2312" w:eastAsia="仿宋_GB2312" w:cs="仿宋_GB2312"/>
          <w:sz w:val="32"/>
          <w:szCs w:val="32"/>
          <w:lang w:val="en-US" w:eastAsia="zh-CN"/>
        </w:rPr>
        <w:t>五</w:t>
      </w:r>
      <w:r>
        <w:rPr>
          <w:rFonts w:hint="eastAsia" w:ascii="仿宋_GB2312" w:hAnsi="仿宋_GB2312" w:eastAsia="仿宋_GB2312" w:cs="仿宋_GB2312"/>
          <w:sz w:val="32"/>
          <w:szCs w:val="32"/>
        </w:rPr>
        <w:t>次全体会议暨全市经济工作会议和中国共产党陈巴尔虎旗第十五届委员会第</w:t>
      </w:r>
      <w:r>
        <w:rPr>
          <w:rFonts w:hint="eastAsia" w:ascii="仿宋_GB2312" w:hAnsi="仿宋_GB2312" w:eastAsia="仿宋_GB2312" w:cs="仿宋_GB2312"/>
          <w:sz w:val="32"/>
          <w:szCs w:val="32"/>
          <w:lang w:val="en-US" w:eastAsia="zh-CN"/>
        </w:rPr>
        <w:t>七</w:t>
      </w:r>
      <w:r>
        <w:rPr>
          <w:rFonts w:hint="eastAsia" w:ascii="仿宋_GB2312" w:hAnsi="仿宋_GB2312" w:eastAsia="仿宋_GB2312" w:cs="仿宋_GB2312"/>
          <w:sz w:val="32"/>
          <w:szCs w:val="32"/>
        </w:rPr>
        <w:t>次全体会议暨全旗经济工作会议精神，</w:t>
      </w:r>
      <w:r>
        <w:rPr>
          <w:rFonts w:hint="eastAsia" w:ascii="仿宋_GB2312" w:hAnsi="仿宋_GB2312" w:eastAsia="仿宋_GB2312" w:cs="仿宋_GB2312"/>
          <w:sz w:val="32"/>
          <w:szCs w:val="32"/>
          <w:lang w:val="en-US" w:eastAsia="zh-CN"/>
        </w:rPr>
        <w:t>坚定不移走以生态优先、绿色发展为导向的高质量发展新路子，聚焦自治区“五大任务”</w:t>
      </w:r>
      <w:r>
        <w:rPr>
          <w:rFonts w:hint="eastAsia" w:ascii="仿宋_GB2312" w:hAnsi="仿宋_GB2312" w:eastAsia="仿宋_GB2312" w:cs="仿宋_GB2312"/>
          <w:color w:val="000000" w:themeColor="text1"/>
          <w:sz w:val="32"/>
          <w:szCs w:val="32"/>
          <w:shd w:val="clear" w:color="auto" w:fill="FFFFFF"/>
          <w:vertAlign w:val="superscript"/>
          <w14:textFill>
            <w14:solidFill>
              <w14:schemeClr w14:val="tx1"/>
            </w14:solidFill>
          </w14:textFill>
        </w:rPr>
        <w:t>③</w:t>
      </w:r>
      <w:r>
        <w:rPr>
          <w:rFonts w:hint="eastAsia" w:ascii="仿宋_GB2312" w:hAnsi="仿宋_GB2312" w:eastAsia="仿宋_GB2312" w:cs="仿宋_GB2312"/>
          <w:sz w:val="32"/>
          <w:szCs w:val="32"/>
          <w:lang w:val="en-US" w:eastAsia="zh-CN"/>
        </w:rPr>
        <w:t>及呼伦贝尔市“五大行动计划”</w:t>
      </w:r>
      <w:r>
        <w:rPr>
          <w:rFonts w:hint="eastAsia" w:ascii="仿宋_GB2312" w:hAnsi="仿宋_GB2312" w:eastAsia="仿宋_GB2312" w:cs="仿宋_GB2312"/>
          <w:color w:val="000000" w:themeColor="text1"/>
          <w:sz w:val="32"/>
          <w:szCs w:val="32"/>
          <w:shd w:val="clear" w:color="auto" w:fill="FFFFFF"/>
          <w:vertAlign w:val="superscript"/>
          <w14:textFill>
            <w14:solidFill>
              <w14:schemeClr w14:val="tx1"/>
            </w14:solidFill>
          </w14:textFill>
        </w:rPr>
        <w:t>④</w:t>
      </w:r>
      <w:r>
        <w:rPr>
          <w:rFonts w:hint="eastAsia" w:ascii="仿宋_GB2312" w:hAnsi="仿宋_GB2312" w:eastAsia="仿宋_GB2312" w:cs="仿宋_GB2312"/>
          <w:sz w:val="32"/>
          <w:szCs w:val="32"/>
          <w:lang w:val="en-US" w:eastAsia="zh-CN"/>
        </w:rPr>
        <w:t>，全力做好稳增长、稳投资、稳市场、稳民生、稳预期工作，有效防范化解重大风险，加快推动经济社会转型发展、绿色发展、高质量发展，在稳中求进的基础上稳中快进、稳中优进，实现经济质的提升和量的合理增长，奋力谱写全面建设社会主义现代化国家陈巴尔虎旗新篇章。</w:t>
      </w:r>
    </w:p>
    <w:p w14:paraId="460420EC">
      <w:pPr>
        <w:keepNext w:val="0"/>
        <w:keepLines w:val="0"/>
        <w:pageBreakBefore w:val="0"/>
        <w:widowControl/>
        <w:kinsoku/>
        <w:wordWrap/>
        <w:overflowPunct/>
        <w:topLinePunct w:val="0"/>
        <w:autoSpaceDE/>
        <w:autoSpaceDN/>
        <w:bidi w:val="0"/>
        <w:adjustRightInd w:val="0"/>
        <w:snapToGrid w:val="0"/>
        <w:spacing w:after="0" w:line="600" w:lineRule="exact"/>
        <w:ind w:firstLine="640" w:firstLineChars="20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根据呼伦贝尔市预期目标确定情况，承接我旗</w:t>
      </w:r>
      <w:r>
        <w:rPr>
          <w:rFonts w:hint="eastAsia" w:ascii="仿宋_GB2312" w:hAnsi="仿宋_GB2312" w:eastAsia="仿宋_GB2312" w:cs="仿宋_GB2312"/>
          <w:sz w:val="32"/>
          <w:szCs w:val="32"/>
        </w:rPr>
        <w:t>2022年</w:t>
      </w:r>
      <w:r>
        <w:rPr>
          <w:rFonts w:hint="eastAsia" w:ascii="仿宋_GB2312" w:hAnsi="仿宋_GB2312" w:eastAsia="仿宋_GB2312" w:cs="仿宋_GB2312"/>
          <w:sz w:val="32"/>
          <w:szCs w:val="32"/>
          <w:lang w:val="en-US" w:eastAsia="zh-CN"/>
        </w:rPr>
        <w:t>取得成绩和良好发展态势，经综合研判，确定今年全旗经济社会发展的主要预期目标是：</w:t>
      </w:r>
      <w:r>
        <w:rPr>
          <w:rFonts w:hint="eastAsia" w:ascii="仿宋_GB2312" w:hAnsi="仿宋_GB2312" w:eastAsia="仿宋_GB2312" w:cs="仿宋_GB2312"/>
          <w:sz w:val="32"/>
          <w:szCs w:val="32"/>
        </w:rPr>
        <w:t>地区生产总值增长6%左右；</w:t>
      </w:r>
      <w:r>
        <w:rPr>
          <w:rFonts w:hint="eastAsia" w:ascii="仿宋_GB2312" w:hAnsi="仿宋_GB2312" w:eastAsia="仿宋_GB2312" w:cs="仿宋_GB2312"/>
          <w:sz w:val="32"/>
          <w:szCs w:val="32"/>
          <w:lang w:val="en-US" w:eastAsia="zh-CN"/>
        </w:rPr>
        <w:t>限额以上固定资产投资增长45%；规模以上工业增加值增长8.5%以上；社会消费品零售总额增长4%左右；一般公共预算收入力争达到9.1亿元；居牧民收入增长和经济增长基本同步；城镇失业登记率控制在5%以内；</w:t>
      </w:r>
      <w:r>
        <w:rPr>
          <w:rFonts w:hint="eastAsia" w:ascii="仿宋_GB2312" w:hAnsi="仿宋_GB2312" w:eastAsia="仿宋_GB2312" w:cs="仿宋_GB2312"/>
          <w:sz w:val="32"/>
          <w:szCs w:val="32"/>
        </w:rPr>
        <w:t>绿色发展指标</w:t>
      </w:r>
      <w:r>
        <w:rPr>
          <w:rFonts w:hint="eastAsia" w:ascii="仿宋_GB2312" w:hAnsi="仿宋_GB2312" w:eastAsia="仿宋_GB2312" w:cs="仿宋_GB2312"/>
          <w:sz w:val="32"/>
          <w:szCs w:val="32"/>
          <w:lang w:eastAsia="zh-CN"/>
        </w:rPr>
        <w:t>全面完成；</w:t>
      </w:r>
      <w:r>
        <w:rPr>
          <w:rFonts w:hint="eastAsia" w:ascii="仿宋_GB2312" w:hAnsi="仿宋_GB2312" w:eastAsia="仿宋_GB2312" w:cs="仿宋_GB2312"/>
          <w:sz w:val="32"/>
          <w:szCs w:val="32"/>
          <w:lang w:val="en-US" w:eastAsia="zh-CN"/>
        </w:rPr>
        <w:t>能耗强度和</w:t>
      </w:r>
      <w:r>
        <w:rPr>
          <w:rFonts w:hint="eastAsia" w:ascii="仿宋_GB2312" w:hAnsi="仿宋_GB2312" w:eastAsia="仿宋_GB2312" w:cs="仿宋_GB2312"/>
          <w:sz w:val="32"/>
          <w:szCs w:val="32"/>
          <w:lang w:eastAsia="zh-CN"/>
        </w:rPr>
        <w:t>节能减排完成呼伦贝尔市下达任务，生态环境质量进一步改善，绿色发展水平不断提升</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为实现上述目标，</w:t>
      </w:r>
      <w:r>
        <w:rPr>
          <w:rFonts w:hint="eastAsia" w:ascii="仿宋_GB2312" w:hAnsi="仿宋_GB2312" w:eastAsia="仿宋_GB2312" w:cs="仿宋_GB2312"/>
          <w:sz w:val="32"/>
          <w:szCs w:val="32"/>
        </w:rPr>
        <w:t>重点</w:t>
      </w:r>
      <w:r>
        <w:rPr>
          <w:rFonts w:hint="eastAsia" w:ascii="仿宋_GB2312" w:hAnsi="仿宋_GB2312" w:eastAsia="仿宋_GB2312" w:cs="仿宋_GB2312"/>
          <w:sz w:val="32"/>
          <w:szCs w:val="32"/>
          <w:lang w:val="en-US" w:eastAsia="zh-CN"/>
        </w:rPr>
        <w:t>要</w:t>
      </w:r>
      <w:r>
        <w:rPr>
          <w:rFonts w:hint="eastAsia" w:ascii="仿宋_GB2312" w:hAnsi="仿宋_GB2312" w:eastAsia="仿宋_GB2312" w:cs="仿宋_GB2312"/>
          <w:sz w:val="32"/>
          <w:szCs w:val="32"/>
        </w:rPr>
        <w:t>抓好以下</w:t>
      </w:r>
      <w:r>
        <w:rPr>
          <w:rFonts w:hint="eastAsia" w:ascii="仿宋_GB2312" w:hAnsi="仿宋_GB2312" w:eastAsia="仿宋_GB2312" w:cs="仿宋_GB2312"/>
          <w:sz w:val="32"/>
          <w:szCs w:val="32"/>
          <w:lang w:val="en-US" w:eastAsia="zh-CN"/>
        </w:rPr>
        <w:t>六</w:t>
      </w:r>
      <w:r>
        <w:rPr>
          <w:rFonts w:hint="eastAsia" w:ascii="仿宋_GB2312" w:hAnsi="仿宋_GB2312" w:eastAsia="仿宋_GB2312" w:cs="仿宋_GB2312"/>
          <w:sz w:val="32"/>
          <w:szCs w:val="32"/>
        </w:rPr>
        <w:t>个方面工作</w:t>
      </w:r>
      <w:r>
        <w:rPr>
          <w:rFonts w:hint="eastAsia" w:ascii="仿宋_GB2312" w:hAnsi="仿宋_GB2312" w:eastAsia="仿宋_GB2312" w:cs="仿宋_GB2312"/>
          <w:sz w:val="32"/>
          <w:szCs w:val="32"/>
          <w:lang w:eastAsia="zh-CN"/>
        </w:rPr>
        <w:t>：</w:t>
      </w:r>
    </w:p>
    <w:p w14:paraId="4EDDADFA">
      <w:pPr>
        <w:keepNext w:val="0"/>
        <w:keepLines w:val="0"/>
        <w:pageBreakBefore w:val="0"/>
        <w:widowControl/>
        <w:kinsoku/>
        <w:wordWrap/>
        <w:overflowPunct/>
        <w:topLinePunct w:val="0"/>
        <w:autoSpaceDE/>
        <w:autoSpaceDN/>
        <w:bidi w:val="0"/>
        <w:adjustRightInd w:val="0"/>
        <w:snapToGrid w:val="0"/>
        <w:spacing w:after="0" w:line="600" w:lineRule="exact"/>
        <w:ind w:firstLine="684" w:firstLineChars="200"/>
        <w:jc w:val="both"/>
        <w:textAlignment w:val="auto"/>
        <w:rPr>
          <w:rFonts w:hint="eastAsia" w:ascii="仿宋_GB2312" w:hAnsi="仿宋_GB2312" w:eastAsia="仿宋_GB2312" w:cs="仿宋_GB2312"/>
          <w:sz w:val="32"/>
          <w:szCs w:val="32"/>
        </w:rPr>
      </w:pPr>
      <w:r>
        <w:rPr>
          <w:rFonts w:hint="eastAsia" w:ascii="楷体_GB2312" w:hAnsi="楷体_GB2312" w:eastAsia="楷体_GB2312" w:cs="楷体_GB2312"/>
          <w:b w:val="0"/>
          <w:bCs w:val="0"/>
          <w:color w:val="auto"/>
          <w:spacing w:val="11"/>
          <w:kern w:val="0"/>
          <w:sz w:val="32"/>
          <w:szCs w:val="32"/>
          <w:highlight w:val="none"/>
          <w:lang w:val="en-US" w:eastAsia="zh-CN"/>
        </w:rPr>
        <w:t>（一）发挥资源优势，促进产业优化升级</w:t>
      </w:r>
    </w:p>
    <w:p w14:paraId="20708D2C">
      <w:pPr>
        <w:keepNext w:val="0"/>
        <w:keepLines w:val="0"/>
        <w:pageBreakBefore w:val="0"/>
        <w:widowControl/>
        <w:kinsoku/>
        <w:wordWrap/>
        <w:overflowPunct/>
        <w:topLinePunct w:val="0"/>
        <w:autoSpaceDE/>
        <w:autoSpaceDN/>
        <w:bidi w:val="0"/>
        <w:adjustRightInd w:val="0"/>
        <w:snapToGrid w:val="0"/>
        <w:spacing w:after="0"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聚焦呼伦贝尔市“五大行动计划”，落实“五大行动方案”推动产业绿色转型升级，坚持以质取胜、以量促质，优化结构，做大总量，在提高质量效益的基础上保持合理的经济增长，加快构建现代化产业体系。</w:t>
      </w:r>
      <w:r>
        <w:rPr>
          <w:rFonts w:hint="eastAsia" w:ascii="仿宋_GB2312" w:hAnsi="仿宋_GB2312" w:eastAsia="仿宋_GB2312" w:cs="仿宋_GB2312"/>
          <w:b/>
          <w:bCs/>
          <w:sz w:val="32"/>
          <w:szCs w:val="32"/>
          <w:lang w:eastAsia="zh-CN"/>
        </w:rPr>
        <w:t>推进农</w:t>
      </w:r>
      <w:r>
        <w:rPr>
          <w:rFonts w:hint="eastAsia" w:ascii="仿宋_GB2312" w:hAnsi="仿宋_GB2312" w:eastAsia="仿宋_GB2312" w:cs="仿宋_GB2312"/>
          <w:b/>
          <w:bCs/>
          <w:sz w:val="32"/>
          <w:szCs w:val="32"/>
          <w:lang w:val="en-US" w:eastAsia="zh-CN"/>
        </w:rPr>
        <w:t>牧产业增量增</w:t>
      </w:r>
      <w:r>
        <w:rPr>
          <w:rFonts w:hint="eastAsia" w:ascii="仿宋_GB2312" w:hAnsi="仿宋_GB2312" w:eastAsia="仿宋_GB2312" w:cs="仿宋_GB2312"/>
          <w:b/>
          <w:bCs/>
          <w:color w:val="auto"/>
          <w:sz w:val="32"/>
          <w:szCs w:val="32"/>
          <w:lang w:val="en-US" w:eastAsia="zh-CN"/>
        </w:rPr>
        <w:t>质发展供给</w:t>
      </w:r>
      <w:r>
        <w:rPr>
          <w:rFonts w:hint="eastAsia" w:ascii="仿宋_GB2312" w:hAnsi="仿宋_GB2312" w:eastAsia="仿宋_GB2312" w:cs="仿宋_GB2312"/>
          <w:b/>
          <w:bCs/>
          <w:sz w:val="32"/>
          <w:szCs w:val="32"/>
          <w:lang w:val="en-US" w:eastAsia="zh-CN"/>
        </w:rPr>
        <w:t>更加充实</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sz w:val="32"/>
          <w:szCs w:val="32"/>
          <w:lang w:eastAsia="zh-CN"/>
        </w:rPr>
        <w:t>发挥资源禀赋、产业基础等方面的比较优势，发展优势特色产业，适度规模经营，促进农牧业产业化、品牌化；推动奶业振兴扶持政策落实，</w:t>
      </w:r>
      <w:r>
        <w:rPr>
          <w:rFonts w:hint="eastAsia" w:ascii="仿宋_GB2312" w:hAnsi="仿宋_GB2312" w:eastAsia="仿宋_GB2312" w:cs="仿宋_GB2312"/>
          <w:sz w:val="32"/>
          <w:szCs w:val="32"/>
        </w:rPr>
        <w:t>加快畜牧业现代化进程</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支持养殖场标准化改造升级；加快推动高标准农田、羊草扩繁基地等项目建设；</w:t>
      </w:r>
      <w:r>
        <w:rPr>
          <w:rFonts w:hint="eastAsia" w:ascii="仿宋_GB2312" w:hAnsi="仿宋_GB2312" w:eastAsia="仿宋_GB2312" w:cs="仿宋_GB2312"/>
          <w:b/>
          <w:bCs/>
          <w:sz w:val="32"/>
          <w:szCs w:val="32"/>
          <w:lang w:val="en-US" w:eastAsia="zh-CN"/>
        </w:rPr>
        <w:t>推动传统产业创新创</w:t>
      </w:r>
      <w:r>
        <w:rPr>
          <w:rFonts w:hint="eastAsia" w:ascii="仿宋_GB2312" w:hAnsi="仿宋_GB2312" w:eastAsia="仿宋_GB2312" w:cs="仿宋_GB2312"/>
          <w:b/>
          <w:bCs/>
          <w:color w:val="auto"/>
          <w:sz w:val="32"/>
          <w:szCs w:val="32"/>
          <w:lang w:val="en-US" w:eastAsia="zh-CN"/>
        </w:rPr>
        <w:t>优发展转型更加</w:t>
      </w:r>
      <w:r>
        <w:rPr>
          <w:rFonts w:hint="eastAsia" w:ascii="仿宋_GB2312" w:hAnsi="仿宋_GB2312" w:eastAsia="仿宋_GB2312" w:cs="仿宋_GB2312"/>
          <w:b/>
          <w:bCs/>
          <w:sz w:val="32"/>
          <w:szCs w:val="32"/>
          <w:lang w:val="en-US" w:eastAsia="zh-CN"/>
        </w:rPr>
        <w:t>有力。</w:t>
      </w:r>
      <w:r>
        <w:rPr>
          <w:rFonts w:hint="eastAsia" w:ascii="仿宋_GB2312" w:hAnsi="仿宋_GB2312" w:eastAsia="仿宋_GB2312" w:cs="仿宋_GB2312"/>
          <w:sz w:val="32"/>
          <w:szCs w:val="32"/>
          <w:lang w:val="en-US" w:eastAsia="zh-CN"/>
        </w:rPr>
        <w:t>聚焦绿色化、高端化、智能化发展，突出企业主体地位，在做好能源资源稳产保供基础上，不断扩大释放优质产能；扎实推进传统产业创新创优发展，坚持创新驱动发展，积极引导企业技术创新、技术改造和设备更新，提升能源产业创新发展效能。持续推进内蒙古呼伦贝尔呼宝新能源有限公司7.45万千瓦光伏项目、陈巴尔虎旗250MW/500MWh储能项目+生态治理等新能源项目、高寒地区露天矿轮斗连续采煤系统研究与示范工程、雁宝能源宝日希勒露天矿无人驾驶卡车编组运行项目、呼贝公司输煤1号皮带改造工程、金新化工备用脱硫系统超净排放研究与应用等新能源及传统产业转型升级类项目的前期工作，</w:t>
      </w:r>
      <w:r>
        <w:rPr>
          <w:rFonts w:hint="eastAsia" w:ascii="仿宋_GB2312" w:hAnsi="仿宋_GB2312" w:eastAsia="仿宋_GB2312" w:cs="仿宋_GB2312"/>
          <w:sz w:val="32"/>
          <w:szCs w:val="32"/>
          <w:lang w:eastAsia="zh-CN"/>
        </w:rPr>
        <w:t>为</w:t>
      </w:r>
      <w:r>
        <w:rPr>
          <w:rFonts w:hint="eastAsia" w:ascii="仿宋_GB2312" w:hAnsi="仿宋_GB2312" w:eastAsia="仿宋_GB2312" w:cs="仿宋_GB2312"/>
          <w:sz w:val="32"/>
          <w:szCs w:val="32"/>
        </w:rPr>
        <w:t>促进能源结构优化调整，加快推进绿色低碳发展提供有力</w:t>
      </w:r>
      <w:r>
        <w:rPr>
          <w:rFonts w:hint="eastAsia" w:ascii="仿宋_GB2312" w:hAnsi="仿宋_GB2312" w:eastAsia="仿宋_GB2312" w:cs="仿宋_GB2312"/>
          <w:sz w:val="32"/>
          <w:szCs w:val="32"/>
          <w:lang w:eastAsia="zh-CN"/>
        </w:rPr>
        <w:t>保障；</w:t>
      </w:r>
      <w:r>
        <w:rPr>
          <w:rFonts w:hint="eastAsia" w:ascii="仿宋_GB2312" w:hAnsi="仿宋_GB2312" w:eastAsia="仿宋_GB2312" w:cs="仿宋_GB2312"/>
          <w:b/>
          <w:bCs/>
          <w:sz w:val="32"/>
          <w:szCs w:val="32"/>
          <w:lang w:val="en-US" w:eastAsia="zh-CN"/>
        </w:rPr>
        <w:t>推动文旅产业提</w:t>
      </w:r>
      <w:r>
        <w:rPr>
          <w:rFonts w:hint="eastAsia" w:ascii="仿宋_GB2312" w:hAnsi="仿宋_GB2312" w:eastAsia="仿宋_GB2312" w:cs="仿宋_GB2312"/>
          <w:b/>
          <w:bCs/>
          <w:color w:val="auto"/>
          <w:sz w:val="32"/>
          <w:szCs w:val="32"/>
          <w:lang w:val="en-US" w:eastAsia="zh-CN"/>
        </w:rPr>
        <w:t>标提效发展特色更加彰显。</w:t>
      </w:r>
      <w:r>
        <w:rPr>
          <w:rFonts w:hint="eastAsia" w:ascii="仿宋_GB2312" w:hAnsi="仿宋_GB2312" w:eastAsia="仿宋_GB2312" w:cs="仿宋_GB2312"/>
          <w:color w:val="auto"/>
          <w:sz w:val="32"/>
          <w:szCs w:val="32"/>
        </w:rPr>
        <w:t>加快推进呼伦贝尔大草原</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rPr>
        <w:t>莫尔格勒河景区创建</w:t>
      </w:r>
      <w:r>
        <w:rPr>
          <w:rFonts w:hint="eastAsia" w:ascii="仿宋_GB2312" w:hAnsi="仿宋_GB2312" w:eastAsia="仿宋_GB2312" w:cs="仿宋_GB2312"/>
          <w:sz w:val="32"/>
          <w:szCs w:val="32"/>
        </w:rPr>
        <w:t>国家5A级旅游景区建设项目</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充分利用冰天雪地这一得天独厚的发展资源，大力发展全季旅游、全域旅游，以文塑旅、以旅彰文；用足用好“天下第一曲水”莫尔格勒河、“那达慕文化之乡”等品牌资源，推动品牌价值向文化产品、农牧产品延伸，创造更多文旅融合的新看点、新亮点、新卖点。</w:t>
      </w:r>
    </w:p>
    <w:p w14:paraId="4F308D45">
      <w:pPr>
        <w:keepNext w:val="0"/>
        <w:keepLines w:val="0"/>
        <w:pageBreakBefore w:val="0"/>
        <w:widowControl/>
        <w:kinsoku/>
        <w:wordWrap/>
        <w:overflowPunct/>
        <w:topLinePunct w:val="0"/>
        <w:autoSpaceDE/>
        <w:autoSpaceDN/>
        <w:bidi w:val="0"/>
        <w:adjustRightInd w:val="0"/>
        <w:snapToGrid w:val="0"/>
        <w:spacing w:after="0" w:line="600" w:lineRule="exact"/>
        <w:ind w:firstLine="684" w:firstLineChars="200"/>
        <w:jc w:val="both"/>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val="0"/>
          <w:bCs w:val="0"/>
          <w:color w:val="auto"/>
          <w:spacing w:val="11"/>
          <w:kern w:val="0"/>
          <w:sz w:val="32"/>
          <w:szCs w:val="32"/>
          <w:highlight w:val="none"/>
          <w:lang w:val="en-US" w:eastAsia="zh-CN"/>
        </w:rPr>
        <w:t>（二）强要素稳投资，推动项目建设再提速</w:t>
      </w:r>
      <w:r>
        <w:rPr>
          <w:rFonts w:hint="eastAsia" w:ascii="楷体_GB2312" w:hAnsi="楷体_GB2312" w:eastAsia="楷体_GB2312" w:cs="楷体_GB2312"/>
          <w:b w:val="0"/>
          <w:bCs w:val="0"/>
          <w:color w:val="auto"/>
          <w:spacing w:val="11"/>
          <w:kern w:val="0"/>
          <w:sz w:val="32"/>
          <w:szCs w:val="32"/>
          <w:highlight w:val="none"/>
          <w:lang w:val="en-US" w:eastAsia="zh-CN"/>
        </w:rPr>
        <w:br w:type="textWrapping"/>
      </w:r>
      <w:r>
        <w:rPr>
          <w:rFonts w:hint="eastAsia" w:ascii="楷体_GB2312" w:hAnsi="楷体_GB2312" w:eastAsia="楷体_GB2312" w:cs="楷体_GB2312"/>
          <w:b w:val="0"/>
          <w:bCs w:val="0"/>
          <w:color w:val="auto"/>
          <w:spacing w:val="11"/>
          <w:kern w:val="0"/>
          <w:sz w:val="32"/>
          <w:szCs w:val="32"/>
          <w:highlight w:val="none"/>
          <w:lang w:val="en-US" w:eastAsia="zh-CN"/>
        </w:rPr>
        <w:t xml:space="preserve">    </w:t>
      </w:r>
      <w:r>
        <w:rPr>
          <w:rFonts w:hint="eastAsia" w:ascii="仿宋_GB2312" w:hAnsi="仿宋_GB2312" w:eastAsia="仿宋_GB2312" w:cs="仿宋_GB2312"/>
          <w:sz w:val="32"/>
          <w:szCs w:val="32"/>
          <w:lang w:val="en-US" w:eastAsia="zh-CN"/>
        </w:rPr>
        <w:t>充分发挥投资的关键作用，全力以赴做好重大项目“抓招商、抓储备、抓前期、抓开工、抓进度、抓投产、抓入统”工作，全力形成“储备一批、开工一批、建设一批、竣工一批”的滚动接续格局。</w:t>
      </w:r>
      <w:r>
        <w:rPr>
          <w:rFonts w:hint="eastAsia" w:ascii="仿宋_GB2312" w:hAnsi="仿宋_GB2312" w:eastAsia="仿宋_GB2312" w:cs="仿宋_GB2312"/>
          <w:b/>
          <w:bCs/>
          <w:sz w:val="32"/>
          <w:szCs w:val="32"/>
          <w:lang w:val="en-US" w:eastAsia="zh-CN"/>
        </w:rPr>
        <w:t>一是</w:t>
      </w:r>
      <w:r>
        <w:rPr>
          <w:rFonts w:hint="eastAsia" w:ascii="仿宋_GB2312" w:hAnsi="仿宋_GB2312" w:eastAsia="仿宋_GB2312" w:cs="仿宋_GB2312"/>
          <w:sz w:val="32"/>
          <w:szCs w:val="32"/>
          <w:lang w:val="en-US" w:eastAsia="zh-CN"/>
        </w:rPr>
        <w:t>做好统筹谋划。要继续实施年初部署、开工季动员、适时专题调度的重大项目推动机制；继续发挥“四个一”</w:t>
      </w:r>
      <w:r>
        <w:rPr>
          <w:rFonts w:hint="eastAsia" w:ascii="仿宋_GB2312" w:hAnsi="仿宋_GB2312" w:eastAsia="仿宋_GB2312" w:cs="仿宋_GB2312"/>
          <w:color w:val="000000" w:themeColor="text1"/>
          <w:sz w:val="32"/>
          <w:szCs w:val="32"/>
          <w:shd w:val="clear" w:color="auto" w:fill="FFFFFF"/>
          <w:vertAlign w:val="superscript"/>
          <w14:textFill>
            <w14:solidFill>
              <w14:schemeClr w14:val="tx1"/>
            </w14:solidFill>
          </w14:textFill>
        </w:rPr>
        <w:t>⑤</w:t>
      </w:r>
      <w:r>
        <w:rPr>
          <w:rFonts w:hint="eastAsia" w:ascii="仿宋_GB2312" w:hAnsi="仿宋_GB2312" w:eastAsia="仿宋_GB2312" w:cs="仿宋_GB2312"/>
          <w:sz w:val="32"/>
          <w:szCs w:val="32"/>
          <w:lang w:val="en-US" w:eastAsia="zh-CN"/>
        </w:rPr>
        <w:t>“五个一”</w:t>
      </w:r>
      <w:r>
        <w:rPr>
          <w:rFonts w:hint="eastAsia" w:ascii="仿宋_GB2312" w:hAnsi="仿宋_GB2312" w:eastAsia="仿宋_GB2312" w:cs="仿宋_GB2312"/>
          <w:color w:val="000000" w:themeColor="text1"/>
          <w:sz w:val="32"/>
          <w:szCs w:val="32"/>
          <w:shd w:val="clear" w:color="auto" w:fill="FFFFFF"/>
          <w:vertAlign w:val="superscript"/>
          <w14:textFill>
            <w14:solidFill>
              <w14:schemeClr w14:val="tx1"/>
            </w14:solidFill>
          </w14:textFill>
        </w:rPr>
        <w:t>⑥</w:t>
      </w:r>
      <w:r>
        <w:rPr>
          <w:rFonts w:hint="eastAsia" w:ascii="仿宋_GB2312" w:hAnsi="仿宋_GB2312" w:eastAsia="仿宋_GB2312" w:cs="仿宋_GB2312"/>
          <w:sz w:val="32"/>
          <w:szCs w:val="32"/>
          <w:lang w:val="en-US" w:eastAsia="zh-CN"/>
        </w:rPr>
        <w:t>“六个一”</w:t>
      </w:r>
      <w:r>
        <w:rPr>
          <w:rFonts w:hint="eastAsia" w:ascii="仿宋_GB2312" w:hAnsi="仿宋_GB2312" w:eastAsia="仿宋_GB2312" w:cs="仿宋_GB2312"/>
          <w:color w:val="000000" w:themeColor="text1"/>
          <w:sz w:val="32"/>
          <w:szCs w:val="32"/>
          <w:shd w:val="clear" w:color="auto" w:fill="FFFFFF"/>
          <w:vertAlign w:val="superscript"/>
          <w14:textFill>
            <w14:solidFill>
              <w14:schemeClr w14:val="tx1"/>
            </w14:solidFill>
          </w14:textFill>
        </w:rPr>
        <w:t>⑦</w:t>
      </w:r>
      <w:r>
        <w:rPr>
          <w:rFonts w:hint="eastAsia" w:ascii="仿宋_GB2312" w:hAnsi="仿宋_GB2312" w:eastAsia="仿宋_GB2312" w:cs="仿宋_GB2312"/>
          <w:sz w:val="32"/>
          <w:szCs w:val="32"/>
          <w:lang w:val="en-US" w:eastAsia="zh-CN"/>
        </w:rPr>
        <w:t>有效机制，紧盯重点项目、做实前期工作、强化要素保障，推行“保姆式”上门服务，实现资源高效配置、要素高效赋能、项目高效推进。</w:t>
      </w:r>
      <w:r>
        <w:rPr>
          <w:rFonts w:hint="eastAsia" w:ascii="仿宋_GB2312" w:hAnsi="仿宋_GB2312" w:eastAsia="仿宋_GB2312" w:cs="仿宋_GB2312"/>
          <w:b/>
          <w:bCs/>
          <w:sz w:val="32"/>
          <w:szCs w:val="32"/>
          <w:lang w:val="en-US" w:eastAsia="zh-CN"/>
        </w:rPr>
        <w:t>二是</w:t>
      </w:r>
      <w:r>
        <w:rPr>
          <w:rFonts w:hint="eastAsia" w:ascii="仿宋_GB2312" w:hAnsi="仿宋_GB2312" w:eastAsia="仿宋_GB2312" w:cs="仿宋_GB2312"/>
          <w:sz w:val="32"/>
          <w:szCs w:val="32"/>
          <w:lang w:val="en-US" w:eastAsia="zh-CN"/>
        </w:rPr>
        <w:t>提升项目谋划水平。紧盯国家、自治区投资政策，围绕产业类、基础设施类、延链补链强链类、技术改造类等方面再谋划充实一批重大项目，要实现“项目跟着规划走、要素跟着项目走”，形成“前期谋划-中期跟踪-后期落地”的规划项目储备实施机制，确保经济发展“全年稳”“全年进”。</w:t>
      </w:r>
      <w:r>
        <w:rPr>
          <w:rFonts w:hint="eastAsia" w:ascii="仿宋_GB2312" w:hAnsi="仿宋_GB2312" w:eastAsia="仿宋_GB2312" w:cs="仿宋_GB2312"/>
          <w:b/>
          <w:bCs/>
          <w:sz w:val="32"/>
          <w:szCs w:val="32"/>
          <w:lang w:val="en-US" w:eastAsia="zh-CN"/>
        </w:rPr>
        <w:t>三是</w:t>
      </w:r>
      <w:r>
        <w:rPr>
          <w:rFonts w:hint="eastAsia" w:ascii="仿宋_GB2312" w:hAnsi="仿宋_GB2312" w:eastAsia="仿宋_GB2312" w:cs="仿宋_GB2312"/>
          <w:sz w:val="32"/>
          <w:szCs w:val="32"/>
          <w:lang w:val="en-US" w:eastAsia="zh-CN"/>
        </w:rPr>
        <w:t>加大资金争取力度。推动各部门继续积极与自治区各厅局对接，争取更多项目纳入自治区、呼伦贝尔市相关规划或建设方案。围绕中央预算内投资、地方政府专项债券等资金支持领域，全力做好项目储备和资金争取工作。</w:t>
      </w:r>
      <w:r>
        <w:rPr>
          <w:rFonts w:hint="eastAsia" w:ascii="仿宋_GB2312" w:hAnsi="仿宋_GB2312" w:eastAsia="仿宋_GB2312" w:cs="仿宋_GB2312"/>
          <w:b/>
          <w:bCs/>
          <w:sz w:val="32"/>
          <w:szCs w:val="32"/>
          <w:lang w:val="en-US" w:eastAsia="zh-CN"/>
        </w:rPr>
        <w:t>四是</w:t>
      </w:r>
      <w:r>
        <w:rPr>
          <w:rFonts w:hint="eastAsia" w:ascii="仿宋_GB2312" w:hAnsi="仿宋_GB2312" w:eastAsia="仿宋_GB2312" w:cs="仿宋_GB2312"/>
          <w:sz w:val="32"/>
          <w:szCs w:val="32"/>
          <w:lang w:val="en-US" w:eastAsia="zh-CN"/>
        </w:rPr>
        <w:t>高品质招商引资。稳步推进《2023年陈巴尔虎旗招商引资工作计划》，紧盯产业链堵点、断点和空白点，围绕优势产业、上下游产业招商引资，提前把项目用地、税收贡献等事项研究到位，创新方式方法，拓宽招引渠道，全力以赴把更多好商大商、好项目大项目引进陈巴尔虎旗，以高质量招引助力高质量发展。</w:t>
      </w:r>
    </w:p>
    <w:p w14:paraId="0476D707">
      <w:pPr>
        <w:keepNext w:val="0"/>
        <w:keepLines w:val="0"/>
        <w:pageBreakBefore w:val="0"/>
        <w:widowControl/>
        <w:kinsoku/>
        <w:wordWrap/>
        <w:overflowPunct/>
        <w:topLinePunct w:val="0"/>
        <w:autoSpaceDE/>
        <w:autoSpaceDN/>
        <w:bidi w:val="0"/>
        <w:adjustRightInd w:val="0"/>
        <w:snapToGrid w:val="0"/>
        <w:spacing w:after="0" w:line="600" w:lineRule="exact"/>
        <w:ind w:firstLine="684" w:firstLineChars="200"/>
        <w:jc w:val="both"/>
        <w:textAlignment w:val="auto"/>
        <w:rPr>
          <w:rFonts w:hint="eastAsia" w:ascii="仿宋_GB2312" w:hAnsi="仿宋_GB2312" w:eastAsia="仿宋_GB2312" w:cs="仿宋_GB2312"/>
          <w:sz w:val="32"/>
          <w:szCs w:val="32"/>
          <w:lang w:eastAsia="zh-CN"/>
        </w:rPr>
      </w:pPr>
      <w:r>
        <w:rPr>
          <w:rFonts w:hint="eastAsia" w:ascii="楷体_GB2312" w:hAnsi="楷体_GB2312" w:eastAsia="楷体_GB2312" w:cs="楷体_GB2312"/>
          <w:b w:val="0"/>
          <w:bCs w:val="0"/>
          <w:color w:val="auto"/>
          <w:spacing w:val="11"/>
          <w:kern w:val="0"/>
          <w:sz w:val="32"/>
          <w:szCs w:val="32"/>
          <w:highlight w:val="none"/>
          <w:lang w:val="en-US" w:eastAsia="zh-CN"/>
        </w:rPr>
        <w:t>（三）推动生态文明建设，加快绿色低碳转型</w:t>
      </w:r>
    </w:p>
    <w:p w14:paraId="267C49B3">
      <w:pPr>
        <w:keepNext w:val="0"/>
        <w:keepLines w:val="0"/>
        <w:pageBreakBefore w:val="0"/>
        <w:widowControl/>
        <w:kinsoku/>
        <w:wordWrap/>
        <w:overflowPunct/>
        <w:topLinePunct w:val="0"/>
        <w:autoSpaceDE/>
        <w:autoSpaceDN/>
        <w:bidi w:val="0"/>
        <w:adjustRightInd w:val="0"/>
        <w:snapToGrid w:val="0"/>
        <w:spacing w:after="0" w:line="600" w:lineRule="exact"/>
        <w:ind w:firstLine="640" w:firstLineChars="20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坚定不移走以生态优先、绿色发展为导向的高质量发展新路子，以碳达峰</w:t>
      </w:r>
      <w:r>
        <w:rPr>
          <w:rFonts w:hint="eastAsia" w:ascii="仿宋_GB2312" w:hAnsi="仿宋_GB2312" w:eastAsia="仿宋_GB2312" w:cs="仿宋_GB2312"/>
          <w:sz w:val="32"/>
          <w:szCs w:val="32"/>
          <w:lang w:val="en-US" w:eastAsia="zh-CN"/>
        </w:rPr>
        <w:t>碳</w:t>
      </w:r>
      <w:r>
        <w:rPr>
          <w:rFonts w:hint="eastAsia" w:ascii="仿宋_GB2312" w:hAnsi="仿宋_GB2312" w:eastAsia="仿宋_GB2312" w:cs="仿宋_GB2312"/>
          <w:sz w:val="32"/>
          <w:szCs w:val="32"/>
          <w:lang w:eastAsia="zh-CN"/>
        </w:rPr>
        <w:t>中和战略为引领，坚决遏制“两高”项目盲目发展。</w:t>
      </w:r>
      <w:r>
        <w:rPr>
          <w:rFonts w:hint="eastAsia" w:ascii="仿宋_GB2312" w:hAnsi="仿宋_GB2312" w:eastAsia="仿宋_GB2312" w:cs="仿宋_GB2312"/>
          <w:b/>
          <w:bCs/>
          <w:sz w:val="32"/>
          <w:szCs w:val="32"/>
          <w:lang w:eastAsia="zh-CN"/>
        </w:rPr>
        <w:t>一是</w:t>
      </w:r>
      <w:r>
        <w:rPr>
          <w:rFonts w:hint="eastAsia" w:ascii="仿宋_GB2312" w:hAnsi="仿宋_GB2312" w:eastAsia="仿宋_GB2312" w:cs="仿宋_GB2312"/>
          <w:sz w:val="32"/>
          <w:szCs w:val="32"/>
          <w:lang w:eastAsia="zh-CN"/>
        </w:rPr>
        <w:t>保持加强生态文明建设的战略定力，不断推动经济社会发展绿色化低碳化；深入推进环境污染防治，</w:t>
      </w:r>
      <w:r>
        <w:rPr>
          <w:rFonts w:hint="eastAsia" w:ascii="仿宋_GB2312" w:hAnsi="仿宋_GB2312" w:eastAsia="仿宋_GB2312" w:cs="仿宋_GB2312"/>
          <w:sz w:val="32"/>
          <w:szCs w:val="32"/>
          <w:lang w:val="en-US" w:eastAsia="zh-CN"/>
        </w:rPr>
        <w:t>加强源头治理及管控，做好降碳减排</w:t>
      </w:r>
      <w:r>
        <w:rPr>
          <w:rFonts w:hint="eastAsia" w:ascii="仿宋_GB2312" w:hAnsi="仿宋_GB2312" w:eastAsia="仿宋_GB2312" w:cs="仿宋_GB2312"/>
          <w:sz w:val="32"/>
          <w:szCs w:val="32"/>
          <w:lang w:eastAsia="zh-CN"/>
        </w:rPr>
        <w:t>强化，继续完成能耗双控目标，走好绿色发展</w:t>
      </w:r>
      <w:r>
        <w:rPr>
          <w:rFonts w:hint="eastAsia" w:ascii="仿宋_GB2312" w:hAnsi="仿宋_GB2312" w:eastAsia="仿宋_GB2312" w:cs="仿宋_GB2312"/>
          <w:sz w:val="32"/>
          <w:szCs w:val="32"/>
          <w:lang w:val="en-US" w:eastAsia="zh-CN"/>
        </w:rPr>
        <w:t>新</w:t>
      </w:r>
      <w:r>
        <w:rPr>
          <w:rFonts w:hint="eastAsia" w:ascii="仿宋_GB2312" w:hAnsi="仿宋_GB2312" w:eastAsia="仿宋_GB2312" w:cs="仿宋_GB2312"/>
          <w:sz w:val="32"/>
          <w:szCs w:val="32"/>
          <w:lang w:eastAsia="zh-CN"/>
        </w:rPr>
        <w:t>路子。</w:t>
      </w:r>
      <w:r>
        <w:rPr>
          <w:rFonts w:hint="eastAsia" w:ascii="仿宋_GB2312" w:hAnsi="仿宋_GB2312" w:eastAsia="仿宋_GB2312" w:cs="仿宋_GB2312"/>
          <w:b/>
          <w:bCs/>
          <w:sz w:val="32"/>
          <w:szCs w:val="32"/>
          <w:lang w:eastAsia="zh-CN"/>
        </w:rPr>
        <w:t>二是</w:t>
      </w:r>
      <w:r>
        <w:rPr>
          <w:rFonts w:hint="eastAsia" w:ascii="仿宋_GB2312" w:hAnsi="仿宋_GB2312" w:eastAsia="仿宋_GB2312" w:cs="仿宋_GB2312"/>
          <w:sz w:val="32"/>
          <w:szCs w:val="32"/>
          <w:lang w:eastAsia="zh-CN"/>
        </w:rPr>
        <w:t>坚持统筹推进山水林田湖草沙一体化保护和系统治理，深入落实林长制、草长制，继续实施生态建设保护修复、沙地综合治理、矿区生态综合治理等重点生态工程，进一步加强资源保护工作，稳步提升草原综合植被覆盖度和森林覆盖率。</w:t>
      </w:r>
      <w:r>
        <w:rPr>
          <w:rFonts w:hint="eastAsia" w:ascii="仿宋_GB2312" w:hAnsi="仿宋_GB2312" w:eastAsia="仿宋_GB2312" w:cs="仿宋_GB2312"/>
          <w:b/>
          <w:bCs/>
          <w:sz w:val="32"/>
          <w:szCs w:val="32"/>
          <w:lang w:eastAsia="zh-CN"/>
        </w:rPr>
        <w:t>三是</w:t>
      </w:r>
      <w:r>
        <w:rPr>
          <w:rFonts w:hint="eastAsia" w:ascii="仿宋_GB2312" w:hAnsi="仿宋_GB2312" w:eastAsia="仿宋_GB2312" w:cs="仿宋_GB2312"/>
          <w:sz w:val="32"/>
          <w:szCs w:val="32"/>
          <w:lang w:eastAsia="zh-CN"/>
        </w:rPr>
        <w:t>加快“三区三线”和“三线一单”成果落地应用，强化国土空间规划和用途管控，促进能源开发和生态保护相融合。</w:t>
      </w:r>
    </w:p>
    <w:p w14:paraId="3A7D9346">
      <w:pPr>
        <w:keepNext w:val="0"/>
        <w:keepLines w:val="0"/>
        <w:pageBreakBefore w:val="0"/>
        <w:widowControl/>
        <w:kinsoku/>
        <w:wordWrap/>
        <w:overflowPunct/>
        <w:topLinePunct w:val="0"/>
        <w:autoSpaceDE/>
        <w:autoSpaceDN/>
        <w:bidi w:val="0"/>
        <w:adjustRightInd w:val="0"/>
        <w:snapToGrid w:val="0"/>
        <w:spacing w:after="0" w:line="600" w:lineRule="exact"/>
        <w:ind w:firstLine="684" w:firstLineChars="200"/>
        <w:jc w:val="both"/>
        <w:textAlignment w:val="auto"/>
        <w:rPr>
          <w:rFonts w:hint="eastAsia" w:ascii="仿宋_GB2312" w:hAnsi="仿宋_GB2312" w:eastAsia="仿宋_GB2312" w:cs="仿宋_GB2312"/>
          <w:sz w:val="32"/>
          <w:szCs w:val="32"/>
          <w:lang w:val="en-US"/>
        </w:rPr>
      </w:pPr>
      <w:r>
        <w:rPr>
          <w:rFonts w:hint="eastAsia" w:ascii="楷体_GB2312" w:hAnsi="楷体_GB2312" w:eastAsia="楷体_GB2312" w:cs="楷体_GB2312"/>
          <w:b w:val="0"/>
          <w:bCs w:val="0"/>
          <w:color w:val="auto"/>
          <w:spacing w:val="11"/>
          <w:kern w:val="0"/>
          <w:sz w:val="32"/>
          <w:szCs w:val="32"/>
          <w:highlight w:val="none"/>
          <w:lang w:val="en-US" w:eastAsia="zh-CN"/>
        </w:rPr>
        <w:t>（四）关注重点难点，持续增进民生福祉</w:t>
      </w:r>
    </w:p>
    <w:p w14:paraId="6DF80A3E">
      <w:pPr>
        <w:keepNext w:val="0"/>
        <w:keepLines w:val="0"/>
        <w:pageBreakBefore w:val="0"/>
        <w:widowControl/>
        <w:kinsoku/>
        <w:wordWrap/>
        <w:overflowPunct/>
        <w:topLinePunct w:val="0"/>
        <w:autoSpaceDE/>
        <w:autoSpaceDN/>
        <w:bidi w:val="0"/>
        <w:adjustRightInd w:val="0"/>
        <w:snapToGrid w:val="0"/>
        <w:spacing w:after="0" w:line="600" w:lineRule="exact"/>
        <w:ind w:firstLine="643"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rPr>
        <w:t>一是</w:t>
      </w:r>
      <w:r>
        <w:rPr>
          <w:rFonts w:hint="eastAsia" w:ascii="仿宋_GB2312" w:hAnsi="仿宋_GB2312" w:eastAsia="仿宋_GB2312" w:cs="仿宋_GB2312"/>
          <w:sz w:val="32"/>
          <w:szCs w:val="32"/>
        </w:rPr>
        <w:t>全面加强民生保障。</w:t>
      </w:r>
      <w:r>
        <w:rPr>
          <w:rFonts w:hint="eastAsia" w:ascii="仿宋_GB2312" w:hAnsi="仿宋_GB2312" w:eastAsia="仿宋_GB2312" w:cs="仿宋_GB2312"/>
          <w:sz w:val="32"/>
          <w:szCs w:val="32"/>
          <w:lang w:val="en-US" w:eastAsia="zh-CN"/>
        </w:rPr>
        <w:t>继续完善和落实各项就业政策，抓好重点群体就业服务，强化创业带动就业，不断增加就业岗位、拓宽就业空间、开辟增收新途径；健全社会救助体系，提高医疗、养老保险参保率。</w:t>
      </w:r>
      <w:r>
        <w:rPr>
          <w:rFonts w:hint="eastAsia" w:ascii="仿宋_GB2312" w:hAnsi="仿宋_GB2312" w:eastAsia="仿宋_GB2312" w:cs="仿宋_GB2312"/>
          <w:b/>
          <w:bCs/>
          <w:sz w:val="32"/>
          <w:szCs w:val="32"/>
          <w:lang w:val="en-US" w:eastAsia="zh-CN"/>
        </w:rPr>
        <w:t>二</w:t>
      </w:r>
      <w:r>
        <w:rPr>
          <w:rFonts w:hint="eastAsia" w:ascii="仿宋_GB2312" w:hAnsi="仿宋_GB2312" w:eastAsia="仿宋_GB2312" w:cs="仿宋_GB2312"/>
          <w:b/>
          <w:bCs/>
          <w:sz w:val="32"/>
          <w:szCs w:val="32"/>
          <w:lang w:val="zh-CN"/>
        </w:rPr>
        <w:t>是</w:t>
      </w:r>
      <w:r>
        <w:rPr>
          <w:rFonts w:hint="eastAsia" w:ascii="仿宋_GB2312" w:hAnsi="仿宋_GB2312" w:eastAsia="仿宋_GB2312" w:cs="仿宋_GB2312"/>
          <w:sz w:val="32"/>
          <w:szCs w:val="32"/>
          <w:lang w:val="zh-CN"/>
        </w:rPr>
        <w:t>统筹推进社会事业发展。</w:t>
      </w:r>
      <w:r>
        <w:rPr>
          <w:rFonts w:hint="eastAsia" w:ascii="仿宋_GB2312" w:hAnsi="仿宋_GB2312" w:eastAsia="仿宋_GB2312" w:cs="仿宋_GB2312"/>
          <w:sz w:val="32"/>
          <w:szCs w:val="32"/>
          <w:lang w:val="en-US" w:eastAsia="zh-CN"/>
        </w:rPr>
        <w:t>继续</w:t>
      </w:r>
      <w:r>
        <w:rPr>
          <w:rFonts w:hint="eastAsia" w:ascii="仿宋_GB2312" w:hAnsi="仿宋_GB2312" w:eastAsia="仿宋_GB2312" w:cs="仿宋_GB2312"/>
          <w:sz w:val="32"/>
          <w:szCs w:val="32"/>
          <w:lang w:val="zh-CN"/>
        </w:rPr>
        <w:t>落实“双减”政策，推动学前教育、义务教育均衡发展；</w:t>
      </w:r>
      <w:r>
        <w:rPr>
          <w:rFonts w:hint="eastAsia" w:ascii="仿宋_GB2312" w:hAnsi="仿宋_GB2312" w:eastAsia="仿宋_GB2312" w:cs="仿宋_GB2312"/>
          <w:sz w:val="32"/>
          <w:szCs w:val="32"/>
          <w:lang w:val="en-US" w:eastAsia="zh-CN"/>
        </w:rPr>
        <w:t>加大公共卫生投入，确保医疗资源充分合理利用；</w:t>
      </w:r>
      <w:r>
        <w:rPr>
          <w:rFonts w:hint="eastAsia" w:ascii="仿宋_GB2312" w:hAnsi="仿宋_GB2312" w:eastAsia="仿宋_GB2312" w:cs="仿宋_GB2312"/>
          <w:sz w:val="32"/>
          <w:szCs w:val="32"/>
          <w:lang w:val="zh-CN"/>
        </w:rPr>
        <w:t>增强公共文化服务供给，为公众提供均等化、多样化、个性化的公共文化服务；坚持以铸牢中华民族共同体意识为主线，有形有感有效做好民族工作，全面促进民族团结进步。</w:t>
      </w:r>
      <w:r>
        <w:rPr>
          <w:rFonts w:hint="eastAsia" w:ascii="仿宋_GB2312" w:hAnsi="仿宋_GB2312" w:eastAsia="仿宋_GB2312" w:cs="仿宋_GB2312"/>
          <w:b/>
          <w:bCs/>
          <w:sz w:val="32"/>
          <w:szCs w:val="32"/>
          <w:lang w:val="zh-CN"/>
        </w:rPr>
        <w:t>三是</w:t>
      </w:r>
      <w:r>
        <w:rPr>
          <w:rFonts w:hint="eastAsia" w:ascii="仿宋_GB2312" w:hAnsi="仿宋_GB2312" w:eastAsia="仿宋_GB2312" w:cs="仿宋_GB2312"/>
          <w:sz w:val="32"/>
          <w:szCs w:val="32"/>
          <w:lang w:val="zh-CN"/>
        </w:rPr>
        <w:t>进一步提高综合治理水平。夯实网格化管理，加强社会治安防控，注重强化法治保障长效化，不断推出便民利民措施，打造人人有责、人人尽责、人人享有的社会治理共同体。</w:t>
      </w:r>
      <w:r>
        <w:rPr>
          <w:rFonts w:hint="eastAsia" w:ascii="仿宋_GB2312" w:hAnsi="仿宋_GB2312" w:eastAsia="仿宋_GB2312" w:cs="仿宋_GB2312"/>
          <w:b/>
          <w:bCs/>
          <w:sz w:val="32"/>
          <w:szCs w:val="32"/>
          <w:lang w:val="en-US" w:eastAsia="zh-CN"/>
        </w:rPr>
        <w:t>四是</w:t>
      </w:r>
      <w:r>
        <w:rPr>
          <w:rFonts w:hint="eastAsia" w:ascii="仿宋_GB2312" w:hAnsi="仿宋_GB2312" w:eastAsia="仿宋_GB2312" w:cs="仿宋_GB2312"/>
          <w:sz w:val="32"/>
          <w:szCs w:val="32"/>
          <w:lang w:val="en-US" w:eastAsia="zh-CN"/>
        </w:rPr>
        <w:t>推进民生项目建设。继续做好普惠性、基础性、兜底性民生建设，强化城镇精细化管理，深入推进乡村全面振兴；实施巴彦库仁镇热力管网改造等民生实事项目，解决好人民群众急难愁盼问题。</w:t>
      </w:r>
    </w:p>
    <w:p w14:paraId="648D868A">
      <w:pPr>
        <w:keepNext w:val="0"/>
        <w:keepLines w:val="0"/>
        <w:pageBreakBefore w:val="0"/>
        <w:widowControl/>
        <w:kinsoku/>
        <w:wordWrap/>
        <w:overflowPunct/>
        <w:topLinePunct w:val="0"/>
        <w:autoSpaceDE/>
        <w:autoSpaceDN/>
        <w:bidi w:val="0"/>
        <w:adjustRightInd w:val="0"/>
        <w:snapToGrid w:val="0"/>
        <w:spacing w:after="0" w:line="600" w:lineRule="exact"/>
        <w:ind w:firstLine="684" w:firstLineChars="200"/>
        <w:jc w:val="both"/>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val="0"/>
          <w:bCs w:val="0"/>
          <w:color w:val="auto"/>
          <w:spacing w:val="11"/>
          <w:kern w:val="0"/>
          <w:sz w:val="32"/>
          <w:szCs w:val="32"/>
          <w:highlight w:val="none"/>
          <w:lang w:val="zh-CN" w:eastAsia="zh-CN"/>
        </w:rPr>
        <w:t>（</w:t>
      </w:r>
      <w:r>
        <w:rPr>
          <w:rFonts w:hint="eastAsia" w:ascii="楷体_GB2312" w:hAnsi="楷体_GB2312" w:eastAsia="楷体_GB2312" w:cs="楷体_GB2312"/>
          <w:b w:val="0"/>
          <w:bCs w:val="0"/>
          <w:color w:val="auto"/>
          <w:spacing w:val="11"/>
          <w:kern w:val="0"/>
          <w:sz w:val="32"/>
          <w:szCs w:val="32"/>
          <w:highlight w:val="none"/>
          <w:lang w:val="en-US" w:eastAsia="zh-CN"/>
        </w:rPr>
        <w:t>五）持续优化营商环境，推动服务效能提升</w:t>
      </w:r>
    </w:p>
    <w:p w14:paraId="092BC90D">
      <w:pPr>
        <w:keepNext w:val="0"/>
        <w:keepLines w:val="0"/>
        <w:pageBreakBefore w:val="0"/>
        <w:widowControl/>
        <w:kinsoku/>
        <w:wordWrap/>
        <w:overflowPunct/>
        <w:topLinePunct w:val="0"/>
        <w:autoSpaceDE/>
        <w:autoSpaceDN/>
        <w:bidi w:val="0"/>
        <w:adjustRightInd w:val="0"/>
        <w:snapToGrid w:val="0"/>
        <w:spacing w:after="0" w:line="600" w:lineRule="exact"/>
        <w:ind w:firstLine="643"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一是</w:t>
      </w:r>
      <w:r>
        <w:rPr>
          <w:rFonts w:hint="eastAsia" w:ascii="仿宋_GB2312" w:hAnsi="仿宋_GB2312" w:eastAsia="仿宋_GB2312" w:cs="仿宋_GB2312"/>
          <w:sz w:val="32"/>
          <w:szCs w:val="32"/>
          <w:lang w:val="en-US" w:eastAsia="zh-CN"/>
        </w:rPr>
        <w:t>推进政务服务事项标准化工作进度，提高政务服务事项即办件比率、最多跑一次事项比率、网办率，打通百姓关心、企业关注的“痛点”“难点”，进一步提升办事便利度。</w:t>
      </w:r>
      <w:r>
        <w:rPr>
          <w:rFonts w:hint="eastAsia" w:ascii="仿宋_GB2312" w:hAnsi="仿宋_GB2312" w:eastAsia="仿宋_GB2312" w:cs="仿宋_GB2312"/>
          <w:b/>
          <w:bCs/>
          <w:sz w:val="32"/>
          <w:szCs w:val="32"/>
          <w:lang w:val="en-US" w:eastAsia="zh-CN"/>
        </w:rPr>
        <w:t>二是</w:t>
      </w:r>
      <w:r>
        <w:rPr>
          <w:rFonts w:hint="eastAsia" w:ascii="仿宋_GB2312" w:hAnsi="仿宋_GB2312" w:eastAsia="仿宋_GB2312" w:cs="仿宋_GB2312"/>
          <w:sz w:val="32"/>
          <w:szCs w:val="32"/>
          <w:lang w:val="en-US" w:eastAsia="zh-CN"/>
        </w:rPr>
        <w:t>积极推广“蒙企通”平台使用，加快提高“蒙速办”注册率和使用率，深入推进“四办”，构建“一厅全旗”数字化精准政务服务体系。</w:t>
      </w:r>
      <w:r>
        <w:rPr>
          <w:rFonts w:hint="eastAsia" w:ascii="仿宋_GB2312" w:hAnsi="仿宋_GB2312" w:eastAsia="仿宋_GB2312" w:cs="仿宋_GB2312"/>
          <w:b/>
          <w:bCs/>
          <w:sz w:val="32"/>
          <w:szCs w:val="32"/>
          <w:lang w:val="en-US" w:eastAsia="zh-CN"/>
        </w:rPr>
        <w:t>三是</w:t>
      </w:r>
      <w:r>
        <w:rPr>
          <w:rFonts w:hint="eastAsia" w:ascii="仿宋_GB2312" w:hAnsi="仿宋_GB2312" w:eastAsia="仿宋_GB2312" w:cs="仿宋_GB2312"/>
          <w:sz w:val="32"/>
          <w:szCs w:val="32"/>
          <w:lang w:val="en-US" w:eastAsia="zh-CN"/>
        </w:rPr>
        <w:t>加强社会信用体系建设，形成激励守信、惩戒失信机制，营造“讲信用、守信用、用信用”的良好社会氛围；持续落实《内蒙古自治区以更优营商环境服务市场主体行动方案》（3.0版），不断提升服务水平，确保各项目标任务落地见效。</w:t>
      </w:r>
    </w:p>
    <w:p w14:paraId="0F9885B7">
      <w:pPr>
        <w:keepNext w:val="0"/>
        <w:keepLines w:val="0"/>
        <w:pageBreakBefore w:val="0"/>
        <w:widowControl/>
        <w:kinsoku/>
        <w:wordWrap/>
        <w:overflowPunct/>
        <w:topLinePunct w:val="0"/>
        <w:autoSpaceDE/>
        <w:autoSpaceDN/>
        <w:bidi w:val="0"/>
        <w:adjustRightInd w:val="0"/>
        <w:snapToGrid w:val="0"/>
        <w:spacing w:after="0" w:line="600" w:lineRule="exact"/>
        <w:ind w:firstLine="684" w:firstLineChars="200"/>
        <w:jc w:val="both"/>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val="0"/>
          <w:bCs w:val="0"/>
          <w:color w:val="auto"/>
          <w:spacing w:val="11"/>
          <w:kern w:val="0"/>
          <w:sz w:val="32"/>
          <w:szCs w:val="32"/>
          <w:highlight w:val="none"/>
          <w:lang w:val="en-US" w:eastAsia="zh-CN"/>
        </w:rPr>
        <w:t>（六）树牢底线思维，营造和谐社会环境</w:t>
      </w:r>
      <w:r>
        <w:rPr>
          <w:rFonts w:hint="eastAsia" w:ascii="楷体_GB2312" w:hAnsi="楷体_GB2312" w:eastAsia="楷体_GB2312" w:cs="楷体_GB2312"/>
          <w:b w:val="0"/>
          <w:bCs w:val="0"/>
          <w:color w:val="auto"/>
          <w:spacing w:val="11"/>
          <w:kern w:val="0"/>
          <w:sz w:val="32"/>
          <w:szCs w:val="32"/>
          <w:highlight w:val="none"/>
          <w:lang w:val="en-US" w:eastAsia="zh-CN"/>
        </w:rPr>
        <w:br w:type="textWrapping"/>
      </w:r>
      <w:r>
        <w:rPr>
          <w:rFonts w:hint="eastAsia" w:ascii="楷体_GB2312" w:hAnsi="楷体_GB2312" w:eastAsia="楷体_GB2312" w:cs="楷体_GB2312"/>
          <w:b w:val="0"/>
          <w:bCs w:val="0"/>
          <w:color w:val="auto"/>
          <w:spacing w:val="11"/>
          <w:kern w:val="0"/>
          <w:sz w:val="32"/>
          <w:szCs w:val="32"/>
          <w:highlight w:val="none"/>
          <w:lang w:val="en-US" w:eastAsia="zh-CN"/>
        </w:rPr>
        <w:t xml:space="preserve">    </w:t>
      </w:r>
      <w:r>
        <w:rPr>
          <w:rFonts w:hint="eastAsia" w:ascii="仿宋_GB2312" w:hAnsi="仿宋_GB2312" w:eastAsia="仿宋_GB2312" w:cs="仿宋_GB2312"/>
          <w:b/>
          <w:bCs/>
          <w:sz w:val="32"/>
          <w:szCs w:val="32"/>
          <w:lang w:val="en-US" w:eastAsia="zh-CN"/>
        </w:rPr>
        <w:t>一是</w:t>
      </w:r>
      <w:r>
        <w:rPr>
          <w:rFonts w:hint="eastAsia" w:ascii="仿宋_GB2312" w:hAnsi="仿宋_GB2312" w:eastAsia="仿宋_GB2312" w:cs="仿宋_GB2312"/>
          <w:sz w:val="32"/>
          <w:szCs w:val="32"/>
          <w:lang w:eastAsia="zh-CN"/>
        </w:rPr>
        <w:t>牢固树立安全发展理念，坚持系统观念，强化底线思维，扛稳粮食和能源供给保障责任。深入贯彻落实习近平总书记新粮食安全观，推进粮食生产储备、流通能力、</w:t>
      </w:r>
      <w:r>
        <w:rPr>
          <w:rFonts w:hint="eastAsia" w:ascii="仿宋_GB2312" w:hAnsi="仿宋_GB2312" w:eastAsia="仿宋_GB2312" w:cs="仿宋_GB2312"/>
          <w:sz w:val="32"/>
          <w:szCs w:val="32"/>
          <w:lang w:val="en-US" w:eastAsia="zh-CN"/>
        </w:rPr>
        <w:t>物资储备体系和设施建设，</w:t>
      </w:r>
      <w:r>
        <w:rPr>
          <w:rFonts w:hint="eastAsia" w:ascii="仿宋_GB2312" w:hAnsi="仿宋_GB2312" w:eastAsia="仿宋_GB2312" w:cs="仿宋_GB2312"/>
          <w:sz w:val="32"/>
          <w:szCs w:val="32"/>
          <w:lang w:eastAsia="zh-CN"/>
        </w:rPr>
        <w:t>进一步提升粮食应急保障能力</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b/>
          <w:bCs/>
          <w:sz w:val="32"/>
          <w:szCs w:val="32"/>
          <w:lang w:val="en-US" w:eastAsia="zh-CN"/>
        </w:rPr>
        <w:t>二是</w:t>
      </w:r>
      <w:r>
        <w:rPr>
          <w:rFonts w:hint="eastAsia" w:ascii="仿宋_GB2312" w:hAnsi="仿宋_GB2312" w:eastAsia="仿宋_GB2312" w:cs="仿宋_GB2312"/>
          <w:sz w:val="32"/>
          <w:szCs w:val="32"/>
          <w:lang w:val="en-US" w:eastAsia="zh-CN"/>
        </w:rPr>
        <w:t>全力保障能源资源安全，发挥好煤炭、煤电安全保障兜底作用，用好用足政策机遇，扩大释放优质产能。</w:t>
      </w:r>
      <w:r>
        <w:rPr>
          <w:rFonts w:hint="eastAsia" w:ascii="仿宋_GB2312" w:hAnsi="仿宋_GB2312" w:eastAsia="仿宋_GB2312" w:cs="仿宋_GB2312"/>
          <w:b/>
          <w:bCs/>
          <w:sz w:val="32"/>
          <w:szCs w:val="32"/>
          <w:lang w:val="en-US" w:eastAsia="zh-CN"/>
        </w:rPr>
        <w:t>三是</w:t>
      </w:r>
      <w:r>
        <w:rPr>
          <w:rFonts w:hint="eastAsia" w:ascii="仿宋_GB2312" w:hAnsi="仿宋_GB2312" w:eastAsia="仿宋_GB2312" w:cs="仿宋_GB2312"/>
          <w:sz w:val="32"/>
          <w:szCs w:val="32"/>
          <w:lang w:val="en-US" w:eastAsia="zh-CN"/>
        </w:rPr>
        <w:t>更好统筹做好疫情防控和经济社会发展，认真落实新阶段新冠病毒感染防控举措，把工作重点转到保健康、防重症上，平稳有序实施“乙类乙管”，加强基层防疫能力建设，重点抓好老年人和患基础性疾病群体的防控；</w:t>
      </w:r>
      <w:r>
        <w:rPr>
          <w:rFonts w:hint="eastAsia" w:ascii="仿宋_GB2312" w:hAnsi="仿宋_GB2312" w:eastAsia="仿宋_GB2312" w:cs="仿宋_GB2312"/>
          <w:b/>
          <w:bCs/>
          <w:sz w:val="32"/>
          <w:szCs w:val="32"/>
          <w:lang w:val="en-US" w:eastAsia="zh-CN"/>
        </w:rPr>
        <w:t>四是</w:t>
      </w:r>
      <w:r>
        <w:rPr>
          <w:rFonts w:hint="eastAsia" w:ascii="仿宋_GB2312" w:hAnsi="仿宋_GB2312" w:eastAsia="仿宋_GB2312" w:cs="仿宋_GB2312"/>
          <w:sz w:val="32"/>
          <w:szCs w:val="32"/>
          <w:lang w:val="en-US" w:eastAsia="zh-CN"/>
        </w:rPr>
        <w:t>防范化解重点领域风险，持续加强财政金融、政府债务等各领域风险防控化解，加大安全生产、食品药品安全、防灾减灾、信访维稳、网络安全等工作力度，坚决遏制重特大事故，牢牢守住不发生系统性风险的底线。</w:t>
      </w:r>
    </w:p>
    <w:p w14:paraId="08EABEF9">
      <w:pPr>
        <w:keepNext w:val="0"/>
        <w:keepLines w:val="0"/>
        <w:pageBreakBefore w:val="0"/>
        <w:widowControl/>
        <w:kinsoku/>
        <w:wordWrap/>
        <w:overflowPunct/>
        <w:topLinePunct w:val="0"/>
        <w:autoSpaceDE/>
        <w:autoSpaceDN/>
        <w:bidi w:val="0"/>
        <w:adjustRightInd w:val="0"/>
        <w:snapToGrid w:val="0"/>
        <w:spacing w:after="0"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各位</w:t>
      </w:r>
      <w:r>
        <w:rPr>
          <w:rFonts w:hint="eastAsia" w:ascii="仿宋_GB2312" w:hAnsi="仿宋_GB2312" w:eastAsia="仿宋_GB2312" w:cs="仿宋_GB2312"/>
          <w:sz w:val="32"/>
          <w:szCs w:val="32"/>
          <w:lang w:val="en-US" w:eastAsia="zh-CN"/>
        </w:rPr>
        <w:t>代表</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2023年是贯彻党的二十大精神的开局之年，是“十四五”规划承上启下的关键之年，</w:t>
      </w:r>
      <w:r>
        <w:rPr>
          <w:rFonts w:hint="eastAsia" w:ascii="仿宋_GB2312" w:hAnsi="仿宋_GB2312" w:eastAsia="仿宋_GB2312" w:cs="仿宋_GB2312"/>
          <w:sz w:val="32"/>
          <w:szCs w:val="32"/>
          <w:lang w:eastAsia="zh-CN"/>
        </w:rPr>
        <w:t>让我们</w:t>
      </w:r>
      <w:r>
        <w:rPr>
          <w:rFonts w:hint="eastAsia" w:ascii="仿宋_GB2312" w:hAnsi="仿宋_GB2312" w:eastAsia="仿宋_GB2312" w:cs="仿宋_GB2312"/>
          <w:sz w:val="32"/>
          <w:szCs w:val="32"/>
        </w:rPr>
        <w:t>在旗委的</w:t>
      </w:r>
      <w:r>
        <w:rPr>
          <w:rFonts w:hint="eastAsia" w:ascii="仿宋_GB2312" w:hAnsi="仿宋_GB2312" w:eastAsia="仿宋_GB2312" w:cs="仿宋_GB2312"/>
          <w:sz w:val="32"/>
          <w:szCs w:val="32"/>
          <w:lang w:eastAsia="zh-CN"/>
        </w:rPr>
        <w:t>坚强</w:t>
      </w:r>
      <w:r>
        <w:rPr>
          <w:rFonts w:hint="eastAsia" w:ascii="仿宋_GB2312" w:hAnsi="仿宋_GB2312" w:eastAsia="仿宋_GB2312" w:cs="仿宋_GB2312"/>
          <w:sz w:val="32"/>
          <w:szCs w:val="32"/>
        </w:rPr>
        <w:t>领导下，自觉接受旗人大的依法监督和旗政协的民主监督，</w:t>
      </w:r>
      <w:r>
        <w:rPr>
          <w:rFonts w:hint="eastAsia" w:ascii="仿宋_GB2312" w:hAnsi="仿宋_GB2312" w:eastAsia="仿宋_GB2312" w:cs="仿宋_GB2312"/>
          <w:sz w:val="32"/>
          <w:szCs w:val="32"/>
          <w:lang w:eastAsia="zh-CN"/>
        </w:rPr>
        <w:t>更加紧密地团结在以习近平同志为核心的党中央周围，</w:t>
      </w:r>
      <w:r>
        <w:rPr>
          <w:rFonts w:hint="eastAsia" w:ascii="仿宋_GB2312" w:hAnsi="仿宋_GB2312" w:eastAsia="仿宋_GB2312" w:cs="仿宋_GB2312"/>
          <w:sz w:val="32"/>
          <w:szCs w:val="32"/>
          <w:lang w:val="en-US" w:eastAsia="zh-CN"/>
        </w:rPr>
        <w:t>坚定信心，奋力拼博，实现2023年经济社会发展目标任务，以高质量发展的新成效为建设美丽富饶和谐幸福陈巴尔虎而努力奋斗！</w:t>
      </w:r>
    </w:p>
    <w:p w14:paraId="1A9B61E5">
      <w:pPr>
        <w:keepNext w:val="0"/>
        <w:keepLines w:val="0"/>
        <w:pageBreakBefore w:val="0"/>
        <w:widowControl/>
        <w:kinsoku/>
        <w:wordWrap/>
        <w:overflowPunct/>
        <w:topLinePunct w:val="0"/>
        <w:autoSpaceDE/>
        <w:autoSpaceDN/>
        <w:bidi w:val="0"/>
        <w:adjustRightInd w:val="0"/>
        <w:snapToGrid w:val="0"/>
        <w:spacing w:after="0" w:line="600" w:lineRule="exact"/>
        <w:jc w:val="both"/>
        <w:textAlignment w:val="auto"/>
        <w:rPr>
          <w:rFonts w:hint="eastAsia" w:ascii="仿宋_GB2312" w:hAnsi="仿宋_GB2312" w:eastAsia="仿宋_GB2312" w:cs="仿宋_GB2312"/>
          <w:sz w:val="32"/>
          <w:szCs w:val="32"/>
          <w:lang w:eastAsia="zh-CN"/>
        </w:rPr>
      </w:pPr>
    </w:p>
    <w:p w14:paraId="7C6553A4">
      <w:pPr>
        <w:pStyle w:val="2"/>
        <w:keepNext w:val="0"/>
        <w:keepLines w:val="0"/>
        <w:pageBreakBefore w:val="0"/>
        <w:widowControl/>
        <w:kinsoku/>
        <w:wordWrap/>
        <w:overflowPunct/>
        <w:topLinePunct w:val="0"/>
        <w:autoSpaceDE/>
        <w:autoSpaceDN/>
        <w:bidi w:val="0"/>
        <w:adjustRightInd w:val="0"/>
        <w:snapToGrid w:val="0"/>
        <w:textAlignment w:val="auto"/>
        <w:rPr>
          <w:rFonts w:hint="eastAsia" w:ascii="仿宋_GB2312" w:hAnsi="仿宋_GB2312" w:eastAsia="仿宋_GB2312" w:cs="仿宋_GB2312"/>
          <w:sz w:val="32"/>
          <w:szCs w:val="32"/>
          <w:lang w:eastAsia="zh-CN"/>
        </w:rPr>
      </w:pPr>
    </w:p>
    <w:p w14:paraId="2FEC1A32">
      <w:pPr>
        <w:keepNext w:val="0"/>
        <w:keepLines w:val="0"/>
        <w:pageBreakBefore w:val="0"/>
        <w:widowControl/>
        <w:kinsoku/>
        <w:wordWrap/>
        <w:overflowPunct/>
        <w:topLinePunct w:val="0"/>
        <w:autoSpaceDE/>
        <w:autoSpaceDN/>
        <w:bidi w:val="0"/>
        <w:adjustRightInd w:val="0"/>
        <w:snapToGrid w:val="0"/>
        <w:textAlignment w:val="auto"/>
        <w:rPr>
          <w:rFonts w:hint="eastAsia"/>
          <w:lang w:eastAsia="zh-CN"/>
        </w:rPr>
      </w:pPr>
    </w:p>
    <w:p w14:paraId="49FC6905">
      <w:pPr>
        <w:keepNext w:val="0"/>
        <w:keepLines w:val="0"/>
        <w:pageBreakBefore w:val="0"/>
        <w:widowControl w:val="0"/>
        <w:kinsoku/>
        <w:wordWrap/>
        <w:overflowPunct/>
        <w:topLinePunct w:val="0"/>
        <w:autoSpaceDE/>
        <w:autoSpaceDN/>
        <w:bidi w:val="0"/>
        <w:adjustRightInd/>
        <w:snapToGrid/>
        <w:spacing w:after="0" w:line="580" w:lineRule="exact"/>
        <w:jc w:val="both"/>
        <w:textAlignment w:val="auto"/>
        <w:rPr>
          <w:rFonts w:hint="eastAsia" w:ascii="方正小标宋简体" w:hAnsi="方正小标宋简体" w:eastAsia="方正小标宋简体" w:cs="方正小标宋简体"/>
          <w:color w:val="000000" w:themeColor="text1"/>
          <w:sz w:val="42"/>
          <w:szCs w:val="42"/>
          <w14:textFill>
            <w14:solidFill>
              <w14:schemeClr w14:val="tx1"/>
            </w14:solidFill>
          </w14:textFill>
        </w:rPr>
      </w:pPr>
    </w:p>
    <w:p w14:paraId="1E699122">
      <w:pPr>
        <w:keepNext w:val="0"/>
        <w:keepLines w:val="0"/>
        <w:pageBreakBefore w:val="0"/>
        <w:widowControl w:val="0"/>
        <w:kinsoku/>
        <w:wordWrap/>
        <w:overflowPunct/>
        <w:topLinePunct w:val="0"/>
        <w:autoSpaceDE/>
        <w:autoSpaceDN/>
        <w:bidi w:val="0"/>
        <w:adjustRightInd/>
        <w:snapToGrid/>
        <w:spacing w:after="0" w:line="580" w:lineRule="exact"/>
        <w:jc w:val="center"/>
        <w:textAlignment w:val="auto"/>
        <w:rPr>
          <w:rFonts w:ascii="方正小标宋简体" w:hAnsi="方正小标宋简体" w:eastAsia="方正小标宋简体" w:cs="方正小标宋简体"/>
          <w:color w:val="000000" w:themeColor="text1"/>
          <w:sz w:val="42"/>
          <w:szCs w:val="42"/>
          <w14:textFill>
            <w14:solidFill>
              <w14:schemeClr w14:val="tx1"/>
            </w14:solidFill>
          </w14:textFill>
        </w:rPr>
      </w:pPr>
      <w:r>
        <w:rPr>
          <w:rFonts w:hint="eastAsia" w:ascii="方正小标宋简体" w:hAnsi="方正小标宋简体" w:eastAsia="方正小标宋简体" w:cs="方正小标宋简体"/>
          <w:color w:val="000000" w:themeColor="text1"/>
          <w:sz w:val="42"/>
          <w:szCs w:val="42"/>
          <w14:textFill>
            <w14:solidFill>
              <w14:schemeClr w14:val="tx1"/>
            </w14:solidFill>
          </w14:textFill>
        </w:rPr>
        <w:t>名 词 解 释</w:t>
      </w:r>
    </w:p>
    <w:p w14:paraId="71B50120">
      <w:pPr>
        <w:pStyle w:val="2"/>
        <w:keepNext w:val="0"/>
        <w:keepLines w:val="0"/>
        <w:pageBreakBefore w:val="0"/>
        <w:widowControl/>
        <w:kinsoku/>
        <w:wordWrap/>
        <w:overflowPunct/>
        <w:topLinePunct w:val="0"/>
        <w:autoSpaceDE/>
        <w:autoSpaceDN/>
        <w:bidi w:val="0"/>
        <w:adjustRightInd w:val="0"/>
        <w:snapToGrid w:val="0"/>
        <w:spacing w:line="580" w:lineRule="exact"/>
        <w:textAlignment w:val="auto"/>
        <w:rPr>
          <w:rFonts w:hint="eastAsia"/>
          <w:lang w:eastAsia="zh-CN"/>
        </w:rPr>
      </w:pPr>
    </w:p>
    <w:p w14:paraId="7A5453C4">
      <w:pPr>
        <w:keepNext w:val="0"/>
        <w:keepLines w:val="0"/>
        <w:pageBreakBefore w:val="0"/>
        <w:widowControl/>
        <w:kinsoku/>
        <w:wordWrap/>
        <w:overflowPunct/>
        <w:topLinePunct w:val="0"/>
        <w:autoSpaceDE/>
        <w:autoSpaceDN/>
        <w:bidi w:val="0"/>
        <w:adjustRightInd w:val="0"/>
        <w:snapToGrid w:val="0"/>
        <w:spacing w:after="0" w:line="580" w:lineRule="exact"/>
        <w:ind w:firstLine="642"/>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color w:val="000000" w:themeColor="text1"/>
          <w:sz w:val="32"/>
          <w:szCs w:val="32"/>
          <w:shd w:val="clear" w:color="auto" w:fill="FFFFFF"/>
          <w14:textFill>
            <w14:solidFill>
              <w14:schemeClr w14:val="tx1"/>
            </w14:solidFill>
          </w14:textFill>
        </w:rPr>
        <w:t>①</w:t>
      </w:r>
      <w:r>
        <w:rPr>
          <w:rFonts w:hint="eastAsia" w:ascii="仿宋_GB2312" w:hAnsi="仿宋_GB2312" w:eastAsia="仿宋_GB2312" w:cs="仿宋_GB2312"/>
          <w:b/>
          <w:bCs/>
          <w:sz w:val="32"/>
          <w:szCs w:val="32"/>
          <w:lang w:val="en-US" w:eastAsia="zh-CN"/>
        </w:rPr>
        <w:t>“五个大起底”：</w:t>
      </w:r>
      <w:r>
        <w:rPr>
          <w:rFonts w:hint="eastAsia" w:ascii="仿宋_GB2312" w:hAnsi="仿宋_GB2312" w:eastAsia="仿宋_GB2312" w:cs="仿宋_GB2312"/>
          <w:sz w:val="32"/>
          <w:szCs w:val="32"/>
          <w:lang w:val="en-US" w:eastAsia="zh-CN"/>
        </w:rPr>
        <w:t>待批项目大起底、开发区闲置资源要素大起底、沉淀资金大起底专项行动、“半拉子”工程大起底、批而未供、闲置土地大起底。</w:t>
      </w:r>
    </w:p>
    <w:p w14:paraId="2C0F6E08">
      <w:pPr>
        <w:keepNext w:val="0"/>
        <w:keepLines w:val="0"/>
        <w:pageBreakBefore w:val="0"/>
        <w:widowControl/>
        <w:kinsoku/>
        <w:wordWrap/>
        <w:overflowPunct/>
        <w:topLinePunct w:val="0"/>
        <w:autoSpaceDE/>
        <w:autoSpaceDN/>
        <w:bidi w:val="0"/>
        <w:adjustRightInd w:val="0"/>
        <w:snapToGrid w:val="0"/>
        <w:spacing w:after="0" w:line="580" w:lineRule="exact"/>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 xml:space="preserve">    </w:t>
      </w:r>
      <w:r>
        <w:rPr>
          <w:rFonts w:hint="eastAsia" w:ascii="仿宋_GB2312" w:hAnsi="仿宋_GB2312" w:eastAsia="仿宋_GB2312" w:cs="仿宋_GB2312"/>
          <w:b/>
          <w:bCs/>
          <w:color w:val="000000" w:themeColor="text1"/>
          <w:sz w:val="32"/>
          <w:szCs w:val="32"/>
          <w:shd w:val="clear" w:color="auto" w:fill="FFFFFF"/>
          <w14:textFill>
            <w14:solidFill>
              <w14:schemeClr w14:val="tx1"/>
            </w14:solidFill>
          </w14:textFill>
        </w:rPr>
        <w:t>②</w:t>
      </w:r>
      <w:r>
        <w:rPr>
          <w:rFonts w:hint="eastAsia" w:ascii="仿宋_GB2312" w:hAnsi="仿宋_GB2312" w:eastAsia="仿宋_GB2312" w:cs="仿宋_GB2312"/>
          <w:b/>
          <w:bCs/>
          <w:sz w:val="32"/>
          <w:szCs w:val="32"/>
          <w:lang w:val="en-US" w:eastAsia="zh-CN"/>
        </w:rPr>
        <w:t>“四个不发生”</w:t>
      </w:r>
      <w:r>
        <w:rPr>
          <w:rFonts w:hint="eastAsia" w:ascii="仿宋_GB2312" w:hAnsi="仿宋_GB2312" w:eastAsia="仿宋_GB2312" w:cs="仿宋_GB2312"/>
          <w:sz w:val="32"/>
          <w:szCs w:val="32"/>
          <w:lang w:val="en-US" w:eastAsia="zh-CN"/>
        </w:rPr>
        <w:t>：不发生危害国家安全和社会稳定的重大政治事件、不发生严重暴力恐怖和个人极端事件、不发生重大群体性事件、不发生重大公共安全事件。</w:t>
      </w:r>
    </w:p>
    <w:p w14:paraId="2729B766">
      <w:pPr>
        <w:keepNext w:val="0"/>
        <w:keepLines w:val="0"/>
        <w:pageBreakBefore w:val="0"/>
        <w:widowControl/>
        <w:kinsoku/>
        <w:wordWrap/>
        <w:overflowPunct/>
        <w:topLinePunct w:val="0"/>
        <w:autoSpaceDE/>
        <w:autoSpaceDN/>
        <w:bidi w:val="0"/>
        <w:adjustRightInd w:val="0"/>
        <w:snapToGrid w:val="0"/>
        <w:spacing w:after="0" w:line="580" w:lineRule="exact"/>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 xml:space="preserve">    ③</w:t>
      </w:r>
      <w:r>
        <w:rPr>
          <w:rFonts w:hint="eastAsia" w:ascii="仿宋_GB2312" w:hAnsi="仿宋_GB2312" w:eastAsia="仿宋_GB2312" w:cs="仿宋_GB2312"/>
          <w:b/>
          <w:bCs/>
          <w:color w:val="000000" w:themeColor="text1"/>
          <w:sz w:val="32"/>
          <w:szCs w:val="32"/>
          <w:shd w:val="clear" w:color="auto" w:fill="FFFFFF"/>
          <w:lang w:eastAsia="zh-CN"/>
          <w14:textFill>
            <w14:solidFill>
              <w14:schemeClr w14:val="tx1"/>
            </w14:solidFill>
          </w14:textFill>
        </w:rPr>
        <w:t>“</w:t>
      </w:r>
      <w:r>
        <w:rPr>
          <w:rFonts w:hint="eastAsia" w:ascii="仿宋_GB2312" w:hAnsi="仿宋_GB2312" w:eastAsia="仿宋_GB2312" w:cs="仿宋_GB2312"/>
          <w:b/>
          <w:bCs/>
          <w:sz w:val="32"/>
          <w:szCs w:val="32"/>
          <w:lang w:val="en-US" w:eastAsia="zh-CN"/>
        </w:rPr>
        <w:t>五大任务</w:t>
      </w:r>
      <w:r>
        <w:rPr>
          <w:rFonts w:hint="eastAsia" w:ascii="仿宋_GB2312" w:hAnsi="仿宋_GB2312" w:eastAsia="仿宋_GB2312" w:cs="仿宋_GB2312"/>
          <w:b/>
          <w:bCs/>
          <w:color w:val="000000" w:themeColor="text1"/>
          <w:sz w:val="32"/>
          <w:szCs w:val="32"/>
          <w:shd w:val="clear" w:color="auto" w:fill="FFFFFF"/>
          <w:lang w:eastAsia="zh-CN"/>
          <w14:textFill>
            <w14:solidFill>
              <w14:schemeClr w14:val="tx1"/>
            </w14:solidFill>
          </w14:textFill>
        </w:rPr>
        <w:t>”</w:t>
      </w:r>
      <w:r>
        <w:rPr>
          <w:rFonts w:hint="eastAsia" w:ascii="仿宋_GB2312" w:hAnsi="仿宋_GB2312" w:eastAsia="仿宋_GB2312" w:cs="仿宋_GB2312"/>
          <w:b/>
          <w:bCs/>
          <w:sz w:val="32"/>
          <w:szCs w:val="32"/>
          <w:lang w:val="en-US" w:eastAsia="zh-CN"/>
        </w:rPr>
        <w:t>：</w:t>
      </w:r>
      <w:r>
        <w:rPr>
          <w:rFonts w:hint="eastAsia" w:ascii="仿宋_GB2312" w:hAnsi="仿宋_GB2312" w:eastAsia="仿宋_GB2312" w:cs="仿宋_GB2312"/>
          <w:sz w:val="32"/>
          <w:szCs w:val="32"/>
          <w:lang w:val="en-US" w:eastAsia="zh-CN"/>
        </w:rPr>
        <w:t>内蒙古要建设成为中国北方重要生态安全屏障、祖国北疆安全稳定屏障、国家重要能源和战略资源基地、国家重要农畜产品生产基地、国家向北开放重要桥头堡。</w:t>
      </w:r>
    </w:p>
    <w:p w14:paraId="3F6AF54B">
      <w:pPr>
        <w:keepNext w:val="0"/>
        <w:keepLines w:val="0"/>
        <w:pageBreakBefore w:val="0"/>
        <w:widowControl/>
        <w:kinsoku/>
        <w:wordWrap/>
        <w:overflowPunct/>
        <w:topLinePunct w:val="0"/>
        <w:autoSpaceDE/>
        <w:autoSpaceDN/>
        <w:bidi w:val="0"/>
        <w:adjustRightInd w:val="0"/>
        <w:snapToGrid w:val="0"/>
        <w:spacing w:after="0" w:line="580" w:lineRule="exact"/>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b/>
          <w:bCs/>
          <w:sz w:val="32"/>
          <w:szCs w:val="32"/>
          <w:lang w:val="en-US" w:eastAsia="zh-CN"/>
        </w:rPr>
        <w:t>④</w:t>
      </w:r>
      <w:r>
        <w:rPr>
          <w:rFonts w:hint="eastAsia" w:ascii="仿宋_GB2312" w:hAnsi="仿宋_GB2312" w:eastAsia="仿宋_GB2312" w:cs="仿宋_GB2312"/>
          <w:b/>
          <w:bCs/>
          <w:color w:val="000000" w:themeColor="text1"/>
          <w:sz w:val="32"/>
          <w:szCs w:val="32"/>
          <w:shd w:val="clear" w:color="auto" w:fill="FFFFFF"/>
          <w:lang w:eastAsia="zh-CN"/>
          <w14:textFill>
            <w14:solidFill>
              <w14:schemeClr w14:val="tx1"/>
            </w14:solidFill>
          </w14:textFill>
        </w:rPr>
        <w:t>“</w:t>
      </w:r>
      <w:r>
        <w:rPr>
          <w:rFonts w:hint="eastAsia" w:ascii="仿宋_GB2312" w:hAnsi="仿宋_GB2312" w:eastAsia="仿宋_GB2312" w:cs="仿宋_GB2312"/>
          <w:b/>
          <w:bCs/>
          <w:sz w:val="32"/>
          <w:szCs w:val="32"/>
          <w:lang w:eastAsia="zh-CN"/>
        </w:rPr>
        <w:t>五大行动计划</w:t>
      </w:r>
      <w:r>
        <w:rPr>
          <w:rFonts w:hint="eastAsia" w:ascii="仿宋_GB2312" w:hAnsi="仿宋_GB2312" w:eastAsia="仿宋_GB2312" w:cs="仿宋_GB2312"/>
          <w:b/>
          <w:bCs/>
          <w:color w:val="000000" w:themeColor="text1"/>
          <w:sz w:val="32"/>
          <w:szCs w:val="32"/>
          <w:shd w:val="clear" w:color="auto" w:fill="FFFFFF"/>
          <w:lang w:eastAsia="zh-CN"/>
          <w14:textFill>
            <w14:solidFill>
              <w14:schemeClr w14:val="tx1"/>
            </w14:solidFill>
          </w14:textFill>
        </w:rPr>
        <w:t>”</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sz w:val="32"/>
          <w:szCs w:val="32"/>
          <w:lang w:eastAsia="zh-CN"/>
        </w:rPr>
        <w:t>一是启动实施文旅产业提标提效发展行动计划；二是启动实施农牧业增量增质发展行动计划；三是启动实施新兴产业集约集聚发展行动计划；四是启动实施生态产业乘时乘势发展行动计划；五是启动实施传统产业创新创优发展行动计划。</w:t>
      </w:r>
    </w:p>
    <w:p w14:paraId="07131568">
      <w:pPr>
        <w:keepNext w:val="0"/>
        <w:keepLines w:val="0"/>
        <w:pageBreakBefore w:val="0"/>
        <w:widowControl/>
        <w:kinsoku/>
        <w:wordWrap/>
        <w:overflowPunct/>
        <w:topLinePunct w:val="0"/>
        <w:autoSpaceDE/>
        <w:autoSpaceDN/>
        <w:bidi w:val="0"/>
        <w:adjustRightInd w:val="0"/>
        <w:snapToGrid w:val="0"/>
        <w:spacing w:after="0" w:line="580" w:lineRule="exact"/>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b/>
          <w:bCs/>
          <w:sz w:val="32"/>
          <w:szCs w:val="32"/>
          <w:lang w:val="en-US" w:eastAsia="zh-CN"/>
        </w:rPr>
        <w:t xml:space="preserve">    ⑤</w:t>
      </w:r>
      <w:r>
        <w:rPr>
          <w:rFonts w:hint="eastAsia" w:ascii="仿宋_GB2312" w:hAnsi="仿宋_GB2312" w:eastAsia="仿宋_GB2312" w:cs="仿宋_GB2312"/>
          <w:b/>
          <w:bCs/>
          <w:sz w:val="32"/>
          <w:szCs w:val="32"/>
          <w:lang w:eastAsia="zh-CN"/>
        </w:rPr>
        <w:t>“四个一”工作机制：</w:t>
      </w:r>
      <w:r>
        <w:rPr>
          <w:rFonts w:hint="eastAsia" w:ascii="仿宋_GB2312" w:hAnsi="仿宋_GB2312" w:eastAsia="仿宋_GB2312" w:cs="仿宋_GB2312"/>
          <w:sz w:val="32"/>
          <w:szCs w:val="32"/>
          <w:lang w:eastAsia="zh-CN"/>
        </w:rPr>
        <w:t>一个工作专班、一本项目台账、一次现场办公、一支督查力量。</w:t>
      </w:r>
      <w:r>
        <w:rPr>
          <w:rFonts w:hint="eastAsia" w:ascii="仿宋_GB2312" w:hAnsi="仿宋_GB2312" w:eastAsia="仿宋_GB2312" w:cs="仿宋_GB2312"/>
          <w:sz w:val="32"/>
          <w:szCs w:val="32"/>
          <w:lang w:eastAsia="zh-CN"/>
        </w:rPr>
        <w:br w:type="textWrapping"/>
      </w:r>
      <w:r>
        <w:rPr>
          <w:rFonts w:hint="eastAsia" w:ascii="仿宋_GB2312" w:hAnsi="仿宋_GB2312" w:eastAsia="仿宋_GB2312" w:cs="仿宋_GB2312"/>
          <w:b/>
          <w:bCs/>
          <w:sz w:val="32"/>
          <w:szCs w:val="32"/>
          <w:lang w:val="en-US" w:eastAsia="zh-CN"/>
        </w:rPr>
        <w:t xml:space="preserve">    ⑥</w:t>
      </w:r>
      <w:r>
        <w:rPr>
          <w:rFonts w:hint="eastAsia" w:ascii="仿宋_GB2312" w:hAnsi="仿宋_GB2312" w:eastAsia="仿宋_GB2312" w:cs="仿宋_GB2312"/>
          <w:b/>
          <w:bCs/>
          <w:sz w:val="32"/>
          <w:szCs w:val="32"/>
          <w:lang w:eastAsia="zh-CN"/>
        </w:rPr>
        <w:t>“五个一”工作措施：</w:t>
      </w:r>
      <w:r>
        <w:rPr>
          <w:rFonts w:hint="eastAsia" w:ascii="仿宋_GB2312" w:hAnsi="仿宋_GB2312" w:eastAsia="仿宋_GB2312" w:cs="仿宋_GB2312"/>
          <w:sz w:val="32"/>
          <w:szCs w:val="32"/>
          <w:lang w:eastAsia="zh-CN"/>
        </w:rPr>
        <w:t>一案一库一表一单一牌（一案，就是专项方案，明确项目工作目标、具体任务、保障措施；一库，就是项目库，动态谋划储备项目；一表，就是进度表，既标明计划进度，也掌握实际进度；一单，就是调度单，建立调度台账，强化调度管理；一牌，就是红黄牌，对进度不达标、时间有滞后的项目，给予“黄牌”警告，重点调度、提级督导；挂“黄牌”整改不力的项目，给予“红牌”警告，全旗通报、严格问责）。</w:t>
      </w:r>
    </w:p>
    <w:p w14:paraId="207AD462">
      <w:pPr>
        <w:keepNext w:val="0"/>
        <w:keepLines w:val="0"/>
        <w:pageBreakBefore w:val="0"/>
        <w:widowControl/>
        <w:kinsoku/>
        <w:wordWrap/>
        <w:overflowPunct/>
        <w:topLinePunct w:val="0"/>
        <w:autoSpaceDE/>
        <w:autoSpaceDN/>
        <w:bidi w:val="0"/>
        <w:adjustRightInd w:val="0"/>
        <w:snapToGrid w:val="0"/>
        <w:spacing w:after="0" w:line="580" w:lineRule="exact"/>
        <w:jc w:val="both"/>
        <w:textAlignment w:val="auto"/>
        <w:rPr>
          <w:rFonts w:hint="default"/>
          <w:lang w:val="en-US" w:eastAsia="zh-CN"/>
        </w:rPr>
      </w:pPr>
      <w:r>
        <w:rPr>
          <w:rFonts w:hint="eastAsia" w:ascii="仿宋_GB2312" w:hAnsi="仿宋_GB2312" w:eastAsia="仿宋_GB2312" w:cs="仿宋_GB2312"/>
          <w:b/>
          <w:bCs/>
          <w:sz w:val="32"/>
          <w:szCs w:val="32"/>
          <w:lang w:val="en-US" w:eastAsia="zh-CN"/>
        </w:rPr>
        <w:t xml:space="preserve">    ⑦</w:t>
      </w:r>
      <w:r>
        <w:rPr>
          <w:rFonts w:hint="eastAsia" w:ascii="仿宋_GB2312" w:hAnsi="仿宋_GB2312" w:eastAsia="仿宋_GB2312" w:cs="仿宋_GB2312"/>
          <w:b/>
          <w:bCs/>
          <w:sz w:val="32"/>
          <w:szCs w:val="32"/>
          <w:lang w:eastAsia="zh-CN"/>
        </w:rPr>
        <w:t>“六个一”工作机制：</w:t>
      </w:r>
      <w:r>
        <w:rPr>
          <w:rFonts w:hint="eastAsia" w:ascii="仿宋_GB2312" w:hAnsi="仿宋_GB2312" w:eastAsia="仿宋_GB2312" w:cs="仿宋_GB2312"/>
          <w:sz w:val="32"/>
          <w:szCs w:val="32"/>
          <w:lang w:eastAsia="zh-CN"/>
        </w:rPr>
        <w:t>一个重点项目、一名包联领导、一个责任单位、一个工作班子、一个工期计划、一抓到底推进。</w:t>
      </w:r>
    </w:p>
    <w:sectPr>
      <w:footerReference r:id="rId5" w:type="default"/>
      <w:pgSz w:w="11906" w:h="16838"/>
      <w:pgMar w:top="2098" w:right="1474" w:bottom="1984" w:left="1587" w:header="850" w:footer="1020" w:gutter="0"/>
      <w:pgNumType w:fmt="decimal"/>
      <w:cols w:space="0" w:num="1"/>
      <w:rtlGutter w:val="0"/>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C11676">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40285D">
                          <w:pPr>
                            <w:pStyle w:val="7"/>
                            <w:keepNext w:val="0"/>
                            <w:keepLines w:val="0"/>
                            <w:pageBreakBefore w:val="0"/>
                            <w:widowControl/>
                            <w:kinsoku/>
                            <w:wordWrap/>
                            <w:overflowPunct/>
                            <w:topLinePunct w:val="0"/>
                            <w:autoSpaceDE/>
                            <w:autoSpaceDN/>
                            <w:bidi w:val="0"/>
                            <w:adjustRightInd w:val="0"/>
                            <w:snapToGrid w:val="0"/>
                            <w:spacing w:after="0"/>
                            <w:ind w:left="440" w:leftChars="200" w:right="440" w:right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840285D">
                    <w:pPr>
                      <w:pStyle w:val="7"/>
                      <w:keepNext w:val="0"/>
                      <w:keepLines w:val="0"/>
                      <w:pageBreakBefore w:val="0"/>
                      <w:widowControl/>
                      <w:kinsoku/>
                      <w:wordWrap/>
                      <w:overflowPunct/>
                      <w:topLinePunct w:val="0"/>
                      <w:autoSpaceDE/>
                      <w:autoSpaceDN/>
                      <w:bidi w:val="0"/>
                      <w:adjustRightInd w:val="0"/>
                      <w:snapToGrid w:val="0"/>
                      <w:spacing w:after="0"/>
                      <w:ind w:left="440" w:leftChars="200" w:right="440" w:right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p w14:paraId="51EB62A4">
    <w:pPr>
      <w:pStyle w:val="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hdrShapeDefaults>
    <o:shapelayout v:ext="edit">
      <o:idmap v:ext="edit" data="3,4"/>
    </o:shapelayout>
  </w:hdrShapeDefaults>
  <w:footnotePr>
    <w:footnote w:id="0"/>
    <w:footnote w:id="1"/>
  </w:footnotePr>
  <w:endnotePr>
    <w:endnote w:id="0"/>
    <w:endnote w:id="1"/>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NhMTlhMWZhNjllMzI3MDgxNGVmN2NhMDBhNzkzMmUifQ=="/>
  </w:docVars>
  <w:rsids>
    <w:rsidRoot w:val="00D31D50"/>
    <w:rsid w:val="000B0210"/>
    <w:rsid w:val="00323B43"/>
    <w:rsid w:val="00325188"/>
    <w:rsid w:val="003D37D8"/>
    <w:rsid w:val="00426133"/>
    <w:rsid w:val="004358AB"/>
    <w:rsid w:val="0058669F"/>
    <w:rsid w:val="005C088A"/>
    <w:rsid w:val="008B7726"/>
    <w:rsid w:val="00A86080"/>
    <w:rsid w:val="00D31D50"/>
    <w:rsid w:val="00E84B10"/>
    <w:rsid w:val="00F871B4"/>
    <w:rsid w:val="01430E95"/>
    <w:rsid w:val="014C4535"/>
    <w:rsid w:val="015D74AC"/>
    <w:rsid w:val="01A54185"/>
    <w:rsid w:val="01AB4014"/>
    <w:rsid w:val="01BD1C3D"/>
    <w:rsid w:val="01C71777"/>
    <w:rsid w:val="01D346F5"/>
    <w:rsid w:val="020F2635"/>
    <w:rsid w:val="020F7B7E"/>
    <w:rsid w:val="022833DA"/>
    <w:rsid w:val="02353A89"/>
    <w:rsid w:val="02655AEF"/>
    <w:rsid w:val="0292160F"/>
    <w:rsid w:val="02B5327F"/>
    <w:rsid w:val="02CA515A"/>
    <w:rsid w:val="02D6712D"/>
    <w:rsid w:val="02D93276"/>
    <w:rsid w:val="039C7C77"/>
    <w:rsid w:val="03D7107D"/>
    <w:rsid w:val="03DD0219"/>
    <w:rsid w:val="03F0672E"/>
    <w:rsid w:val="03FD0BE5"/>
    <w:rsid w:val="042C4A18"/>
    <w:rsid w:val="044C3BB0"/>
    <w:rsid w:val="045C3496"/>
    <w:rsid w:val="04DA239D"/>
    <w:rsid w:val="04DD5FAB"/>
    <w:rsid w:val="04EA2AD8"/>
    <w:rsid w:val="057C3C93"/>
    <w:rsid w:val="05B7314F"/>
    <w:rsid w:val="05B77671"/>
    <w:rsid w:val="05F56A39"/>
    <w:rsid w:val="06186BE8"/>
    <w:rsid w:val="06715952"/>
    <w:rsid w:val="06CA5CAD"/>
    <w:rsid w:val="06F34B4B"/>
    <w:rsid w:val="070754A1"/>
    <w:rsid w:val="070F05F0"/>
    <w:rsid w:val="072D080C"/>
    <w:rsid w:val="07AE3534"/>
    <w:rsid w:val="07CD242F"/>
    <w:rsid w:val="07DD12E8"/>
    <w:rsid w:val="082608E1"/>
    <w:rsid w:val="08285910"/>
    <w:rsid w:val="082E152F"/>
    <w:rsid w:val="082E5C7E"/>
    <w:rsid w:val="083420ED"/>
    <w:rsid w:val="085406AB"/>
    <w:rsid w:val="0895194A"/>
    <w:rsid w:val="08B76626"/>
    <w:rsid w:val="08E21B49"/>
    <w:rsid w:val="09434CDD"/>
    <w:rsid w:val="09440A55"/>
    <w:rsid w:val="0966277A"/>
    <w:rsid w:val="097B012C"/>
    <w:rsid w:val="097D0913"/>
    <w:rsid w:val="099E3CC2"/>
    <w:rsid w:val="09B16437"/>
    <w:rsid w:val="09BD0D3B"/>
    <w:rsid w:val="09D16488"/>
    <w:rsid w:val="09D75DE9"/>
    <w:rsid w:val="09E152F5"/>
    <w:rsid w:val="09ED2E9B"/>
    <w:rsid w:val="0A03517F"/>
    <w:rsid w:val="0A107AF7"/>
    <w:rsid w:val="0A127A22"/>
    <w:rsid w:val="0A9357F1"/>
    <w:rsid w:val="0AA6251B"/>
    <w:rsid w:val="0B5F3278"/>
    <w:rsid w:val="0C175FAD"/>
    <w:rsid w:val="0C7D4E91"/>
    <w:rsid w:val="0C89482A"/>
    <w:rsid w:val="0CC56D0D"/>
    <w:rsid w:val="0CCF544F"/>
    <w:rsid w:val="0CF233C5"/>
    <w:rsid w:val="0D2A6B38"/>
    <w:rsid w:val="0D413B7F"/>
    <w:rsid w:val="0D991370"/>
    <w:rsid w:val="0E1E14C1"/>
    <w:rsid w:val="0E292B66"/>
    <w:rsid w:val="0E554FC9"/>
    <w:rsid w:val="0E6D0F0A"/>
    <w:rsid w:val="0E6E74A1"/>
    <w:rsid w:val="0E841366"/>
    <w:rsid w:val="0E912047"/>
    <w:rsid w:val="0EC10B55"/>
    <w:rsid w:val="0ED939EE"/>
    <w:rsid w:val="0EDE1004"/>
    <w:rsid w:val="0EE711AE"/>
    <w:rsid w:val="0F067A3A"/>
    <w:rsid w:val="0F187E33"/>
    <w:rsid w:val="0F2942DE"/>
    <w:rsid w:val="0F48729B"/>
    <w:rsid w:val="0FB004D7"/>
    <w:rsid w:val="0FB43F9D"/>
    <w:rsid w:val="10117152"/>
    <w:rsid w:val="103C1E79"/>
    <w:rsid w:val="10772234"/>
    <w:rsid w:val="107C7E51"/>
    <w:rsid w:val="10AD3541"/>
    <w:rsid w:val="10D97227"/>
    <w:rsid w:val="10F44B0F"/>
    <w:rsid w:val="110E3020"/>
    <w:rsid w:val="11C21B23"/>
    <w:rsid w:val="11F61A7B"/>
    <w:rsid w:val="12085E6F"/>
    <w:rsid w:val="120E22F9"/>
    <w:rsid w:val="122D652B"/>
    <w:rsid w:val="12361454"/>
    <w:rsid w:val="12960447"/>
    <w:rsid w:val="12C527A4"/>
    <w:rsid w:val="12D04177"/>
    <w:rsid w:val="1316106F"/>
    <w:rsid w:val="131F1629"/>
    <w:rsid w:val="134A0B53"/>
    <w:rsid w:val="135E000E"/>
    <w:rsid w:val="13D8002F"/>
    <w:rsid w:val="13F111A4"/>
    <w:rsid w:val="13FE99AB"/>
    <w:rsid w:val="1408423C"/>
    <w:rsid w:val="14206F91"/>
    <w:rsid w:val="142C0276"/>
    <w:rsid w:val="1481490C"/>
    <w:rsid w:val="149D3A1E"/>
    <w:rsid w:val="14A4609B"/>
    <w:rsid w:val="14B22C98"/>
    <w:rsid w:val="150F2A1B"/>
    <w:rsid w:val="151B08BC"/>
    <w:rsid w:val="155B3225"/>
    <w:rsid w:val="158D030D"/>
    <w:rsid w:val="15CA4122"/>
    <w:rsid w:val="15F07F2D"/>
    <w:rsid w:val="16314110"/>
    <w:rsid w:val="163A7D3C"/>
    <w:rsid w:val="164756E1"/>
    <w:rsid w:val="1651294D"/>
    <w:rsid w:val="16684E4E"/>
    <w:rsid w:val="16DF03E4"/>
    <w:rsid w:val="17014F38"/>
    <w:rsid w:val="172F2322"/>
    <w:rsid w:val="1735378C"/>
    <w:rsid w:val="173E758D"/>
    <w:rsid w:val="17800EAB"/>
    <w:rsid w:val="178C5AA1"/>
    <w:rsid w:val="179D229C"/>
    <w:rsid w:val="179E1CBB"/>
    <w:rsid w:val="17DF02C7"/>
    <w:rsid w:val="1812217B"/>
    <w:rsid w:val="186E164B"/>
    <w:rsid w:val="188A3DD7"/>
    <w:rsid w:val="188A451D"/>
    <w:rsid w:val="18C63C94"/>
    <w:rsid w:val="190A3EDF"/>
    <w:rsid w:val="190B7F5D"/>
    <w:rsid w:val="191F1AD7"/>
    <w:rsid w:val="194A4E3B"/>
    <w:rsid w:val="196547FC"/>
    <w:rsid w:val="199F5459"/>
    <w:rsid w:val="1A0062D3"/>
    <w:rsid w:val="1A042817"/>
    <w:rsid w:val="1A162B98"/>
    <w:rsid w:val="1A291E1A"/>
    <w:rsid w:val="1A4E4C67"/>
    <w:rsid w:val="1A547A16"/>
    <w:rsid w:val="1A687B5F"/>
    <w:rsid w:val="1AA1325D"/>
    <w:rsid w:val="1AB75575"/>
    <w:rsid w:val="1AC36343"/>
    <w:rsid w:val="1AD876B6"/>
    <w:rsid w:val="1AED21FE"/>
    <w:rsid w:val="1B1A0EE4"/>
    <w:rsid w:val="1B542096"/>
    <w:rsid w:val="1B6E7210"/>
    <w:rsid w:val="1B7F1479"/>
    <w:rsid w:val="1BE60CE4"/>
    <w:rsid w:val="1BEF380A"/>
    <w:rsid w:val="1C872817"/>
    <w:rsid w:val="1CE840F9"/>
    <w:rsid w:val="1D05392E"/>
    <w:rsid w:val="1D0D54B9"/>
    <w:rsid w:val="1D351CA9"/>
    <w:rsid w:val="1D5A6425"/>
    <w:rsid w:val="1D9700F7"/>
    <w:rsid w:val="1DA75A23"/>
    <w:rsid w:val="1DBE7B7D"/>
    <w:rsid w:val="1DCB623F"/>
    <w:rsid w:val="1DD8374A"/>
    <w:rsid w:val="1DFE0D7B"/>
    <w:rsid w:val="1E05035C"/>
    <w:rsid w:val="1E185093"/>
    <w:rsid w:val="1E396C13"/>
    <w:rsid w:val="1E3E0571"/>
    <w:rsid w:val="1E5C3A77"/>
    <w:rsid w:val="1E9D65BB"/>
    <w:rsid w:val="1EA326F0"/>
    <w:rsid w:val="1EDF2859"/>
    <w:rsid w:val="1EEC5078"/>
    <w:rsid w:val="1EED151B"/>
    <w:rsid w:val="1F0E7107"/>
    <w:rsid w:val="1F572E39"/>
    <w:rsid w:val="1FA051F0"/>
    <w:rsid w:val="1FA37695"/>
    <w:rsid w:val="1FE87DA4"/>
    <w:rsid w:val="203C59E9"/>
    <w:rsid w:val="20480330"/>
    <w:rsid w:val="2061496A"/>
    <w:rsid w:val="20617C34"/>
    <w:rsid w:val="20AC64B0"/>
    <w:rsid w:val="20B513AF"/>
    <w:rsid w:val="20E122E0"/>
    <w:rsid w:val="20E24677"/>
    <w:rsid w:val="216F2C6A"/>
    <w:rsid w:val="21760C3F"/>
    <w:rsid w:val="217E6924"/>
    <w:rsid w:val="219A0E50"/>
    <w:rsid w:val="21C600EA"/>
    <w:rsid w:val="21E8421C"/>
    <w:rsid w:val="21E97497"/>
    <w:rsid w:val="21EF196D"/>
    <w:rsid w:val="21F61864"/>
    <w:rsid w:val="22010E3A"/>
    <w:rsid w:val="220D0AE6"/>
    <w:rsid w:val="223C00C4"/>
    <w:rsid w:val="22774617"/>
    <w:rsid w:val="228B0EA6"/>
    <w:rsid w:val="22A5535A"/>
    <w:rsid w:val="22B85530"/>
    <w:rsid w:val="22D1795A"/>
    <w:rsid w:val="22D36557"/>
    <w:rsid w:val="232A7534"/>
    <w:rsid w:val="237A4E15"/>
    <w:rsid w:val="238F70F2"/>
    <w:rsid w:val="23B12C73"/>
    <w:rsid w:val="23ED0074"/>
    <w:rsid w:val="241D5B0E"/>
    <w:rsid w:val="2426173E"/>
    <w:rsid w:val="2463402E"/>
    <w:rsid w:val="24637044"/>
    <w:rsid w:val="24D82326"/>
    <w:rsid w:val="250645AF"/>
    <w:rsid w:val="250C0950"/>
    <w:rsid w:val="251A778A"/>
    <w:rsid w:val="251E5667"/>
    <w:rsid w:val="2527114A"/>
    <w:rsid w:val="25365DFA"/>
    <w:rsid w:val="254F1044"/>
    <w:rsid w:val="255816B9"/>
    <w:rsid w:val="256F7067"/>
    <w:rsid w:val="25A13D14"/>
    <w:rsid w:val="25AC4519"/>
    <w:rsid w:val="25CB7275"/>
    <w:rsid w:val="266219C5"/>
    <w:rsid w:val="2668592C"/>
    <w:rsid w:val="268B45D0"/>
    <w:rsid w:val="273A1456"/>
    <w:rsid w:val="274E4B21"/>
    <w:rsid w:val="276E3499"/>
    <w:rsid w:val="279839C7"/>
    <w:rsid w:val="27A91D58"/>
    <w:rsid w:val="27C0078F"/>
    <w:rsid w:val="27C04AC9"/>
    <w:rsid w:val="284B4479"/>
    <w:rsid w:val="28C606E7"/>
    <w:rsid w:val="28CE558B"/>
    <w:rsid w:val="28F34F96"/>
    <w:rsid w:val="29003DEC"/>
    <w:rsid w:val="290556B4"/>
    <w:rsid w:val="290C4C94"/>
    <w:rsid w:val="29233D8C"/>
    <w:rsid w:val="294D6D52"/>
    <w:rsid w:val="2958479A"/>
    <w:rsid w:val="29B272F2"/>
    <w:rsid w:val="29B78C2C"/>
    <w:rsid w:val="29F428EE"/>
    <w:rsid w:val="2A0B4F4C"/>
    <w:rsid w:val="2A2E2FA6"/>
    <w:rsid w:val="2A9D113F"/>
    <w:rsid w:val="2AC002F4"/>
    <w:rsid w:val="2AD81893"/>
    <w:rsid w:val="2ADF5415"/>
    <w:rsid w:val="2AF82C9C"/>
    <w:rsid w:val="2AFC0E7A"/>
    <w:rsid w:val="2B356C13"/>
    <w:rsid w:val="2B4168AC"/>
    <w:rsid w:val="2B473DA7"/>
    <w:rsid w:val="2B5844DA"/>
    <w:rsid w:val="2B664F23"/>
    <w:rsid w:val="2BE85E4E"/>
    <w:rsid w:val="2C0532AE"/>
    <w:rsid w:val="2C224286"/>
    <w:rsid w:val="2C416A03"/>
    <w:rsid w:val="2C4714CB"/>
    <w:rsid w:val="2C8E776E"/>
    <w:rsid w:val="2CB6251A"/>
    <w:rsid w:val="2D0A3299"/>
    <w:rsid w:val="2D0F38CC"/>
    <w:rsid w:val="2D237D17"/>
    <w:rsid w:val="2D2E81B0"/>
    <w:rsid w:val="2D5D22CA"/>
    <w:rsid w:val="2DEB066E"/>
    <w:rsid w:val="2E057F04"/>
    <w:rsid w:val="2E6D3AC3"/>
    <w:rsid w:val="2E92488E"/>
    <w:rsid w:val="2EBF6305"/>
    <w:rsid w:val="2ECA7275"/>
    <w:rsid w:val="2ECB20BA"/>
    <w:rsid w:val="2F00552A"/>
    <w:rsid w:val="2F143860"/>
    <w:rsid w:val="2F884330"/>
    <w:rsid w:val="2F8D1BB9"/>
    <w:rsid w:val="2FAE475C"/>
    <w:rsid w:val="2FB61497"/>
    <w:rsid w:val="2FE94F1F"/>
    <w:rsid w:val="2FF01A91"/>
    <w:rsid w:val="300A1006"/>
    <w:rsid w:val="301738D0"/>
    <w:rsid w:val="306453B6"/>
    <w:rsid w:val="30FC5F15"/>
    <w:rsid w:val="31166E63"/>
    <w:rsid w:val="312406A1"/>
    <w:rsid w:val="313B2D39"/>
    <w:rsid w:val="31413B7F"/>
    <w:rsid w:val="31751439"/>
    <w:rsid w:val="317A30DB"/>
    <w:rsid w:val="31815AF3"/>
    <w:rsid w:val="3190789C"/>
    <w:rsid w:val="31B163D9"/>
    <w:rsid w:val="31B71515"/>
    <w:rsid w:val="31CA1C70"/>
    <w:rsid w:val="320209E2"/>
    <w:rsid w:val="32196F69"/>
    <w:rsid w:val="32252923"/>
    <w:rsid w:val="32354960"/>
    <w:rsid w:val="32382656"/>
    <w:rsid w:val="32966601"/>
    <w:rsid w:val="32A66AE3"/>
    <w:rsid w:val="32AC3566"/>
    <w:rsid w:val="32F10A57"/>
    <w:rsid w:val="32FF13C6"/>
    <w:rsid w:val="331D2EA8"/>
    <w:rsid w:val="331E7D78"/>
    <w:rsid w:val="33432FFF"/>
    <w:rsid w:val="33813BD8"/>
    <w:rsid w:val="33CD6DCE"/>
    <w:rsid w:val="33DB616D"/>
    <w:rsid w:val="33DC7265"/>
    <w:rsid w:val="33E3206A"/>
    <w:rsid w:val="33E70357"/>
    <w:rsid w:val="3420761D"/>
    <w:rsid w:val="34256C0A"/>
    <w:rsid w:val="343D03F7"/>
    <w:rsid w:val="34473024"/>
    <w:rsid w:val="34681F94"/>
    <w:rsid w:val="34C35465"/>
    <w:rsid w:val="34CF642A"/>
    <w:rsid w:val="34D23912"/>
    <w:rsid w:val="354F05EA"/>
    <w:rsid w:val="35543EC0"/>
    <w:rsid w:val="357F017B"/>
    <w:rsid w:val="35997FA4"/>
    <w:rsid w:val="35BA7826"/>
    <w:rsid w:val="35CE04BC"/>
    <w:rsid w:val="35FC166F"/>
    <w:rsid w:val="36177253"/>
    <w:rsid w:val="36230175"/>
    <w:rsid w:val="363F311F"/>
    <w:rsid w:val="365A5651"/>
    <w:rsid w:val="367F5952"/>
    <w:rsid w:val="36826596"/>
    <w:rsid w:val="3689036D"/>
    <w:rsid w:val="36A14990"/>
    <w:rsid w:val="36A55DE0"/>
    <w:rsid w:val="36AE2FB7"/>
    <w:rsid w:val="36D933A6"/>
    <w:rsid w:val="36F33FEE"/>
    <w:rsid w:val="37083BFB"/>
    <w:rsid w:val="3757085C"/>
    <w:rsid w:val="3769093B"/>
    <w:rsid w:val="37724CE5"/>
    <w:rsid w:val="378E2D18"/>
    <w:rsid w:val="37AE39F6"/>
    <w:rsid w:val="37B821C4"/>
    <w:rsid w:val="37DE5B31"/>
    <w:rsid w:val="38080D1C"/>
    <w:rsid w:val="380F4923"/>
    <w:rsid w:val="382179A7"/>
    <w:rsid w:val="388F0827"/>
    <w:rsid w:val="38D91002"/>
    <w:rsid w:val="38FA3198"/>
    <w:rsid w:val="396226AE"/>
    <w:rsid w:val="396257DF"/>
    <w:rsid w:val="39A326EE"/>
    <w:rsid w:val="39C757C2"/>
    <w:rsid w:val="39F436AC"/>
    <w:rsid w:val="3A444605"/>
    <w:rsid w:val="3A683CF4"/>
    <w:rsid w:val="3A773F37"/>
    <w:rsid w:val="3A8C61CE"/>
    <w:rsid w:val="3AAB63D0"/>
    <w:rsid w:val="3AAD3956"/>
    <w:rsid w:val="3ADC3D9A"/>
    <w:rsid w:val="3AED7C8C"/>
    <w:rsid w:val="3B2F69AA"/>
    <w:rsid w:val="3B4C7172"/>
    <w:rsid w:val="3B824942"/>
    <w:rsid w:val="3B886861"/>
    <w:rsid w:val="3BC35B23"/>
    <w:rsid w:val="3BCC7C9E"/>
    <w:rsid w:val="3BD51EC7"/>
    <w:rsid w:val="3C27584B"/>
    <w:rsid w:val="3C4A7C4B"/>
    <w:rsid w:val="3C9073CB"/>
    <w:rsid w:val="3CB94393"/>
    <w:rsid w:val="3D673DEF"/>
    <w:rsid w:val="3DBF0976"/>
    <w:rsid w:val="3DD21B0E"/>
    <w:rsid w:val="3DD37381"/>
    <w:rsid w:val="3DF1723D"/>
    <w:rsid w:val="3E371A14"/>
    <w:rsid w:val="3E5B79B4"/>
    <w:rsid w:val="3E642A25"/>
    <w:rsid w:val="3EB15E8D"/>
    <w:rsid w:val="3EF83118"/>
    <w:rsid w:val="3F0225EB"/>
    <w:rsid w:val="3F8678CA"/>
    <w:rsid w:val="3F9A5205"/>
    <w:rsid w:val="3F9C5A2E"/>
    <w:rsid w:val="3FBE98FD"/>
    <w:rsid w:val="3FE03BBD"/>
    <w:rsid w:val="400C2B55"/>
    <w:rsid w:val="40471332"/>
    <w:rsid w:val="40EA5463"/>
    <w:rsid w:val="41205106"/>
    <w:rsid w:val="41616D2D"/>
    <w:rsid w:val="41744CD3"/>
    <w:rsid w:val="417B26CB"/>
    <w:rsid w:val="41FA5113"/>
    <w:rsid w:val="421216E4"/>
    <w:rsid w:val="42A0255E"/>
    <w:rsid w:val="42AE426E"/>
    <w:rsid w:val="42D26928"/>
    <w:rsid w:val="42EE00D5"/>
    <w:rsid w:val="430622FC"/>
    <w:rsid w:val="432D5ADB"/>
    <w:rsid w:val="43316763"/>
    <w:rsid w:val="43695917"/>
    <w:rsid w:val="43762AE8"/>
    <w:rsid w:val="43DC417C"/>
    <w:rsid w:val="43EA0BED"/>
    <w:rsid w:val="43ED0ABB"/>
    <w:rsid w:val="43F44570"/>
    <w:rsid w:val="44002B6E"/>
    <w:rsid w:val="4423208F"/>
    <w:rsid w:val="44557097"/>
    <w:rsid w:val="44702E68"/>
    <w:rsid w:val="447F5EC2"/>
    <w:rsid w:val="44953413"/>
    <w:rsid w:val="44A22C58"/>
    <w:rsid w:val="44F66133"/>
    <w:rsid w:val="452F11E1"/>
    <w:rsid w:val="457052B2"/>
    <w:rsid w:val="458D0AB3"/>
    <w:rsid w:val="45BC5040"/>
    <w:rsid w:val="45C17F54"/>
    <w:rsid w:val="45C20E30"/>
    <w:rsid w:val="45F96148"/>
    <w:rsid w:val="45FF4F15"/>
    <w:rsid w:val="460523D5"/>
    <w:rsid w:val="46160AEE"/>
    <w:rsid w:val="46296783"/>
    <w:rsid w:val="464B65C2"/>
    <w:rsid w:val="46A33541"/>
    <w:rsid w:val="46AB75EC"/>
    <w:rsid w:val="47216A47"/>
    <w:rsid w:val="473C453F"/>
    <w:rsid w:val="47602337"/>
    <w:rsid w:val="484743FE"/>
    <w:rsid w:val="48646AF5"/>
    <w:rsid w:val="48677399"/>
    <w:rsid w:val="4890684F"/>
    <w:rsid w:val="489C4C8F"/>
    <w:rsid w:val="48AC6345"/>
    <w:rsid w:val="48CC5E67"/>
    <w:rsid w:val="48CF3AF4"/>
    <w:rsid w:val="48F03833"/>
    <w:rsid w:val="48FD5F50"/>
    <w:rsid w:val="49105C83"/>
    <w:rsid w:val="491C252D"/>
    <w:rsid w:val="4A021220"/>
    <w:rsid w:val="4A1804C0"/>
    <w:rsid w:val="4A1C0855"/>
    <w:rsid w:val="4A51619E"/>
    <w:rsid w:val="4A722025"/>
    <w:rsid w:val="4A7674AF"/>
    <w:rsid w:val="4A8D1910"/>
    <w:rsid w:val="4A8E02D7"/>
    <w:rsid w:val="4A8F63AF"/>
    <w:rsid w:val="4AC653C9"/>
    <w:rsid w:val="4ACC7988"/>
    <w:rsid w:val="4B01759C"/>
    <w:rsid w:val="4B350987"/>
    <w:rsid w:val="4B8F02FD"/>
    <w:rsid w:val="4B935BD3"/>
    <w:rsid w:val="4BB47E50"/>
    <w:rsid w:val="4BC610DF"/>
    <w:rsid w:val="4BD13DC3"/>
    <w:rsid w:val="4BE1132D"/>
    <w:rsid w:val="4BE34527"/>
    <w:rsid w:val="4BE807F1"/>
    <w:rsid w:val="4C435E69"/>
    <w:rsid w:val="4C7B41D3"/>
    <w:rsid w:val="4CAA381F"/>
    <w:rsid w:val="4CC633C5"/>
    <w:rsid w:val="4CE345E5"/>
    <w:rsid w:val="4CF62F74"/>
    <w:rsid w:val="4D065A44"/>
    <w:rsid w:val="4D261F19"/>
    <w:rsid w:val="4D445EFB"/>
    <w:rsid w:val="4D6D5069"/>
    <w:rsid w:val="4D73058E"/>
    <w:rsid w:val="4D781BF5"/>
    <w:rsid w:val="4D7D7FBC"/>
    <w:rsid w:val="4DFB3220"/>
    <w:rsid w:val="4E585EF0"/>
    <w:rsid w:val="4E9F8F07"/>
    <w:rsid w:val="4EA056A9"/>
    <w:rsid w:val="4EA15699"/>
    <w:rsid w:val="4EA97FD4"/>
    <w:rsid w:val="4EBB043F"/>
    <w:rsid w:val="4ED65279"/>
    <w:rsid w:val="4EE24E3A"/>
    <w:rsid w:val="4F1F78BA"/>
    <w:rsid w:val="4F4274E9"/>
    <w:rsid w:val="4F55149D"/>
    <w:rsid w:val="4F5C41A7"/>
    <w:rsid w:val="4FA26A5E"/>
    <w:rsid w:val="4FAB400F"/>
    <w:rsid w:val="4FCA2A64"/>
    <w:rsid w:val="504C37C3"/>
    <w:rsid w:val="507C7696"/>
    <w:rsid w:val="511978B7"/>
    <w:rsid w:val="51346287"/>
    <w:rsid w:val="513B1221"/>
    <w:rsid w:val="516637DA"/>
    <w:rsid w:val="51A31E0D"/>
    <w:rsid w:val="51F677F6"/>
    <w:rsid w:val="522133EE"/>
    <w:rsid w:val="52CD6CA1"/>
    <w:rsid w:val="52E238B4"/>
    <w:rsid w:val="52E8557B"/>
    <w:rsid w:val="52EB786D"/>
    <w:rsid w:val="532D740B"/>
    <w:rsid w:val="533627B3"/>
    <w:rsid w:val="533F163E"/>
    <w:rsid w:val="53441FB1"/>
    <w:rsid w:val="534D5DEE"/>
    <w:rsid w:val="53B25EE8"/>
    <w:rsid w:val="545A5061"/>
    <w:rsid w:val="54B52D8E"/>
    <w:rsid w:val="54C73E91"/>
    <w:rsid w:val="54F53DCC"/>
    <w:rsid w:val="55195EBF"/>
    <w:rsid w:val="552B174F"/>
    <w:rsid w:val="558F1CDD"/>
    <w:rsid w:val="559D3AD2"/>
    <w:rsid w:val="55B16A10"/>
    <w:rsid w:val="55B932BC"/>
    <w:rsid w:val="55BD4A9D"/>
    <w:rsid w:val="55CA3A68"/>
    <w:rsid w:val="56512E9C"/>
    <w:rsid w:val="568B5F1C"/>
    <w:rsid w:val="56C01578"/>
    <w:rsid w:val="56F3629C"/>
    <w:rsid w:val="572E6FAC"/>
    <w:rsid w:val="57720FE9"/>
    <w:rsid w:val="57A203EE"/>
    <w:rsid w:val="57BF5C28"/>
    <w:rsid w:val="57C244B5"/>
    <w:rsid w:val="57C75011"/>
    <w:rsid w:val="57D97DE1"/>
    <w:rsid w:val="57ED6BB5"/>
    <w:rsid w:val="57EF2F07"/>
    <w:rsid w:val="581D1982"/>
    <w:rsid w:val="58355674"/>
    <w:rsid w:val="583B6BEB"/>
    <w:rsid w:val="58535DB6"/>
    <w:rsid w:val="58742122"/>
    <w:rsid w:val="58791198"/>
    <w:rsid w:val="58AB5080"/>
    <w:rsid w:val="58FA1B64"/>
    <w:rsid w:val="5901216A"/>
    <w:rsid w:val="59156567"/>
    <w:rsid w:val="591B15E2"/>
    <w:rsid w:val="59351D3B"/>
    <w:rsid w:val="594131C3"/>
    <w:rsid w:val="596C2AAC"/>
    <w:rsid w:val="59893748"/>
    <w:rsid w:val="59901E57"/>
    <w:rsid w:val="59BD32BD"/>
    <w:rsid w:val="59D7282E"/>
    <w:rsid w:val="5A03174A"/>
    <w:rsid w:val="5A0B6079"/>
    <w:rsid w:val="5A3A267C"/>
    <w:rsid w:val="5A3C02BC"/>
    <w:rsid w:val="5A933676"/>
    <w:rsid w:val="5AD14B2A"/>
    <w:rsid w:val="5AEB4E62"/>
    <w:rsid w:val="5B1838C1"/>
    <w:rsid w:val="5B2F73FF"/>
    <w:rsid w:val="5B4D4167"/>
    <w:rsid w:val="5B7C1615"/>
    <w:rsid w:val="5B7D6AE9"/>
    <w:rsid w:val="5B917890"/>
    <w:rsid w:val="5BF12387"/>
    <w:rsid w:val="5C466AA1"/>
    <w:rsid w:val="5C4B7407"/>
    <w:rsid w:val="5CBC77C7"/>
    <w:rsid w:val="5CDF6DEC"/>
    <w:rsid w:val="5D975065"/>
    <w:rsid w:val="5E011D60"/>
    <w:rsid w:val="5E287821"/>
    <w:rsid w:val="5F1E7F95"/>
    <w:rsid w:val="5F463D55"/>
    <w:rsid w:val="5F6355E9"/>
    <w:rsid w:val="5FBD4096"/>
    <w:rsid w:val="5FF259B6"/>
    <w:rsid w:val="6007630E"/>
    <w:rsid w:val="600D65BA"/>
    <w:rsid w:val="60352E5F"/>
    <w:rsid w:val="604479DC"/>
    <w:rsid w:val="60487F1F"/>
    <w:rsid w:val="606623B1"/>
    <w:rsid w:val="609D79A4"/>
    <w:rsid w:val="60B45728"/>
    <w:rsid w:val="60E115A4"/>
    <w:rsid w:val="60FA1093"/>
    <w:rsid w:val="61073070"/>
    <w:rsid w:val="611834CF"/>
    <w:rsid w:val="613E79DE"/>
    <w:rsid w:val="614E6EF1"/>
    <w:rsid w:val="616A4C51"/>
    <w:rsid w:val="61A40B4F"/>
    <w:rsid w:val="61DA0452"/>
    <w:rsid w:val="61E909C7"/>
    <w:rsid w:val="62336EF3"/>
    <w:rsid w:val="62456545"/>
    <w:rsid w:val="624A76B8"/>
    <w:rsid w:val="62A870BC"/>
    <w:rsid w:val="62FB7F3D"/>
    <w:rsid w:val="630701E1"/>
    <w:rsid w:val="631F6296"/>
    <w:rsid w:val="632E7E4C"/>
    <w:rsid w:val="633B11F3"/>
    <w:rsid w:val="63514A76"/>
    <w:rsid w:val="636414CB"/>
    <w:rsid w:val="63877C5B"/>
    <w:rsid w:val="638D1F52"/>
    <w:rsid w:val="63A20030"/>
    <w:rsid w:val="63C73244"/>
    <w:rsid w:val="63E51928"/>
    <w:rsid w:val="64047D3A"/>
    <w:rsid w:val="64117276"/>
    <w:rsid w:val="644C2486"/>
    <w:rsid w:val="647749B0"/>
    <w:rsid w:val="64835970"/>
    <w:rsid w:val="64A21A2D"/>
    <w:rsid w:val="64D01861"/>
    <w:rsid w:val="65483CB5"/>
    <w:rsid w:val="656B0071"/>
    <w:rsid w:val="657241EB"/>
    <w:rsid w:val="657F3B1C"/>
    <w:rsid w:val="658119E0"/>
    <w:rsid w:val="65B337C6"/>
    <w:rsid w:val="65E446E4"/>
    <w:rsid w:val="66047332"/>
    <w:rsid w:val="66065580"/>
    <w:rsid w:val="660900AA"/>
    <w:rsid w:val="669F3C8F"/>
    <w:rsid w:val="66F44128"/>
    <w:rsid w:val="670C77C9"/>
    <w:rsid w:val="67175ECF"/>
    <w:rsid w:val="67342358"/>
    <w:rsid w:val="67421BF9"/>
    <w:rsid w:val="675D7026"/>
    <w:rsid w:val="6785708B"/>
    <w:rsid w:val="67AB0BF9"/>
    <w:rsid w:val="67C04E0C"/>
    <w:rsid w:val="67DE7D86"/>
    <w:rsid w:val="689F7FBD"/>
    <w:rsid w:val="68AC448C"/>
    <w:rsid w:val="68AE265F"/>
    <w:rsid w:val="68BB30BE"/>
    <w:rsid w:val="68D73011"/>
    <w:rsid w:val="68E82655"/>
    <w:rsid w:val="68FE11FC"/>
    <w:rsid w:val="691018CA"/>
    <w:rsid w:val="695B7BA0"/>
    <w:rsid w:val="6960676A"/>
    <w:rsid w:val="69693759"/>
    <w:rsid w:val="69C27C5C"/>
    <w:rsid w:val="69D01BC4"/>
    <w:rsid w:val="6A22569F"/>
    <w:rsid w:val="6A3C5DE8"/>
    <w:rsid w:val="6A6B408C"/>
    <w:rsid w:val="6A721EA2"/>
    <w:rsid w:val="6A931074"/>
    <w:rsid w:val="6B2B0179"/>
    <w:rsid w:val="6BB067E5"/>
    <w:rsid w:val="6BB51B6D"/>
    <w:rsid w:val="6BCC0C00"/>
    <w:rsid w:val="6C600D93"/>
    <w:rsid w:val="6C6E4500"/>
    <w:rsid w:val="6C711D97"/>
    <w:rsid w:val="6C9C59CC"/>
    <w:rsid w:val="6CB80FE7"/>
    <w:rsid w:val="6CE12AD8"/>
    <w:rsid w:val="6CF0677C"/>
    <w:rsid w:val="6D213CD8"/>
    <w:rsid w:val="6D3C64C0"/>
    <w:rsid w:val="6D8765B3"/>
    <w:rsid w:val="6DB23EDA"/>
    <w:rsid w:val="6DC47D29"/>
    <w:rsid w:val="6DD83752"/>
    <w:rsid w:val="6DFC0D80"/>
    <w:rsid w:val="6E3B3BBA"/>
    <w:rsid w:val="6E3C3FD0"/>
    <w:rsid w:val="6E984084"/>
    <w:rsid w:val="6E9D268C"/>
    <w:rsid w:val="6F0271D9"/>
    <w:rsid w:val="6F056169"/>
    <w:rsid w:val="6F1A6664"/>
    <w:rsid w:val="6F5E00B2"/>
    <w:rsid w:val="6F656C42"/>
    <w:rsid w:val="6FB12368"/>
    <w:rsid w:val="6FB4339E"/>
    <w:rsid w:val="6FE32EFA"/>
    <w:rsid w:val="6FE85F9F"/>
    <w:rsid w:val="6FFD1131"/>
    <w:rsid w:val="70161521"/>
    <w:rsid w:val="702F11E4"/>
    <w:rsid w:val="705F327E"/>
    <w:rsid w:val="70CB39B0"/>
    <w:rsid w:val="71135346"/>
    <w:rsid w:val="71142176"/>
    <w:rsid w:val="712428A2"/>
    <w:rsid w:val="7134518D"/>
    <w:rsid w:val="7138158F"/>
    <w:rsid w:val="71397275"/>
    <w:rsid w:val="714330C1"/>
    <w:rsid w:val="716337C0"/>
    <w:rsid w:val="71761DED"/>
    <w:rsid w:val="717C53B4"/>
    <w:rsid w:val="719948E7"/>
    <w:rsid w:val="719E79BA"/>
    <w:rsid w:val="71A73BD0"/>
    <w:rsid w:val="71A91CC5"/>
    <w:rsid w:val="722D793B"/>
    <w:rsid w:val="7292478A"/>
    <w:rsid w:val="72C601E1"/>
    <w:rsid w:val="72EE45F0"/>
    <w:rsid w:val="72F760BF"/>
    <w:rsid w:val="7317031E"/>
    <w:rsid w:val="73353A6C"/>
    <w:rsid w:val="73AA6020"/>
    <w:rsid w:val="73BF4E4D"/>
    <w:rsid w:val="73D37293"/>
    <w:rsid w:val="73F62AEC"/>
    <w:rsid w:val="74932A0C"/>
    <w:rsid w:val="749E1052"/>
    <w:rsid w:val="74AC5FB0"/>
    <w:rsid w:val="750121E7"/>
    <w:rsid w:val="75063912"/>
    <w:rsid w:val="750D422C"/>
    <w:rsid w:val="75296ED4"/>
    <w:rsid w:val="752C6D0C"/>
    <w:rsid w:val="7558691B"/>
    <w:rsid w:val="75824BD9"/>
    <w:rsid w:val="75831323"/>
    <w:rsid w:val="75994786"/>
    <w:rsid w:val="75AB054A"/>
    <w:rsid w:val="75B1752F"/>
    <w:rsid w:val="770F2826"/>
    <w:rsid w:val="77574D38"/>
    <w:rsid w:val="7767024F"/>
    <w:rsid w:val="779C3C11"/>
    <w:rsid w:val="77CC6B1B"/>
    <w:rsid w:val="77D21EC9"/>
    <w:rsid w:val="78654792"/>
    <w:rsid w:val="78741052"/>
    <w:rsid w:val="78767001"/>
    <w:rsid w:val="78880AE2"/>
    <w:rsid w:val="78AF6D3C"/>
    <w:rsid w:val="78C8617D"/>
    <w:rsid w:val="78ED0288"/>
    <w:rsid w:val="78F63DD4"/>
    <w:rsid w:val="792C3B64"/>
    <w:rsid w:val="79465043"/>
    <w:rsid w:val="79505E97"/>
    <w:rsid w:val="79510EE4"/>
    <w:rsid w:val="79531A34"/>
    <w:rsid w:val="795E3E9C"/>
    <w:rsid w:val="797063BF"/>
    <w:rsid w:val="7999249D"/>
    <w:rsid w:val="79C46483"/>
    <w:rsid w:val="79C913B2"/>
    <w:rsid w:val="79F51C74"/>
    <w:rsid w:val="79FD2E0A"/>
    <w:rsid w:val="7A9A5422"/>
    <w:rsid w:val="7A9F4E9E"/>
    <w:rsid w:val="7ACB6DF5"/>
    <w:rsid w:val="7B3C3525"/>
    <w:rsid w:val="7B4A5F45"/>
    <w:rsid w:val="7B607816"/>
    <w:rsid w:val="7B8433CF"/>
    <w:rsid w:val="7BA626F0"/>
    <w:rsid w:val="7C061F3F"/>
    <w:rsid w:val="7C0E7DE9"/>
    <w:rsid w:val="7C480247"/>
    <w:rsid w:val="7C57244A"/>
    <w:rsid w:val="7C635826"/>
    <w:rsid w:val="7C86358B"/>
    <w:rsid w:val="7C90137C"/>
    <w:rsid w:val="7CCD7CA5"/>
    <w:rsid w:val="7CD21EA3"/>
    <w:rsid w:val="7D2A03BA"/>
    <w:rsid w:val="7D581BBE"/>
    <w:rsid w:val="7D585CEC"/>
    <w:rsid w:val="7D5A5378"/>
    <w:rsid w:val="7D9D283B"/>
    <w:rsid w:val="7DC76028"/>
    <w:rsid w:val="7DDB3462"/>
    <w:rsid w:val="7DF10D00"/>
    <w:rsid w:val="7E18189E"/>
    <w:rsid w:val="7E5B6CA1"/>
    <w:rsid w:val="7E7376CE"/>
    <w:rsid w:val="7E9F7203"/>
    <w:rsid w:val="7EE301CB"/>
    <w:rsid w:val="7EE74A1F"/>
    <w:rsid w:val="7EEC6057"/>
    <w:rsid w:val="7EF10BE6"/>
    <w:rsid w:val="7F3656C9"/>
    <w:rsid w:val="7F4B6D8D"/>
    <w:rsid w:val="7F4E42CC"/>
    <w:rsid w:val="7F9F3BC7"/>
    <w:rsid w:val="7F9F5451"/>
    <w:rsid w:val="7FCD04D5"/>
    <w:rsid w:val="7FEF6D3F"/>
    <w:rsid w:val="9DFD79D9"/>
    <w:rsid w:val="9EF608BD"/>
    <w:rsid w:val="A69F2B4B"/>
    <w:rsid w:val="C9FB471B"/>
    <w:rsid w:val="DF1FE961"/>
    <w:rsid w:val="F3BE009F"/>
    <w:rsid w:val="F46B85FB"/>
    <w:rsid w:val="F6AB9BAA"/>
    <w:rsid w:val="F6FB291E"/>
    <w:rsid w:val="F77FC553"/>
    <w:rsid w:val="F7CFC5E8"/>
    <w:rsid w:val="F7FB1E43"/>
    <w:rsid w:val="F9BF5B40"/>
    <w:rsid w:val="F9F893FE"/>
    <w:rsid w:val="FA7CC21D"/>
    <w:rsid w:val="FB3DA65C"/>
    <w:rsid w:val="FE5FFECA"/>
    <w:rsid w:val="FE9E3FB4"/>
    <w:rsid w:val="FFFD90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qFormat="1" w:unhideWhenUsed="0" w:uiPriority="0"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line="240" w:lineRule="auto"/>
    </w:pPr>
    <w:rPr>
      <w:rFonts w:ascii="Tahoma" w:hAnsi="Tahoma" w:eastAsia="微软雅黑" w:cstheme="minorBidi"/>
      <w:sz w:val="22"/>
      <w:szCs w:val="22"/>
      <w:lang w:val="en-US" w:eastAsia="zh-CN" w:bidi="ar-SA"/>
    </w:rPr>
  </w:style>
  <w:style w:type="paragraph" w:styleId="3">
    <w:name w:val="heading 2"/>
    <w:basedOn w:val="1"/>
    <w:next w:val="1"/>
    <w:qFormat/>
    <w:uiPriority w:val="0"/>
    <w:pPr>
      <w:spacing w:before="100" w:beforeAutospacing="1" w:after="100" w:afterAutospacing="1"/>
      <w:jc w:val="left"/>
      <w:outlineLvl w:val="1"/>
    </w:pPr>
    <w:rPr>
      <w:rFonts w:hint="eastAsia" w:ascii="宋体" w:hAnsi="宋体"/>
      <w:b/>
      <w:kern w:val="0"/>
      <w:sz w:val="36"/>
      <w:szCs w:val="36"/>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table of authorities"/>
    <w:basedOn w:val="1"/>
    <w:next w:val="1"/>
    <w:qFormat/>
    <w:uiPriority w:val="0"/>
    <w:pPr>
      <w:ind w:left="420" w:leftChars="200"/>
    </w:pPr>
  </w:style>
  <w:style w:type="paragraph" w:styleId="4">
    <w:name w:val="Body Text"/>
    <w:basedOn w:val="1"/>
    <w:next w:val="5"/>
    <w:qFormat/>
    <w:uiPriority w:val="0"/>
    <w:pPr>
      <w:spacing w:line="600" w:lineRule="exact"/>
      <w:ind w:firstLine="880" w:firstLineChars="200"/>
    </w:pPr>
    <w:rPr>
      <w:rFonts w:ascii="Calibri" w:hAnsi="Calibri" w:eastAsia="仿宋_GB2312"/>
      <w:sz w:val="32"/>
    </w:rPr>
  </w:style>
  <w:style w:type="paragraph" w:styleId="5">
    <w:name w:val="Body Text First Indent 2"/>
    <w:basedOn w:val="6"/>
    <w:unhideWhenUsed/>
    <w:qFormat/>
    <w:uiPriority w:val="99"/>
    <w:pPr>
      <w:spacing w:after="0"/>
      <w:ind w:left="0" w:leftChars="0" w:firstLine="40"/>
    </w:pPr>
    <w:rPr>
      <w:rFonts w:ascii="仿宋_GB2312" w:hAnsi="仿宋_GB2312" w:eastAsia="仿宋" w:cs="仿宋_GB2312"/>
      <w:sz w:val="32"/>
      <w:szCs w:val="32"/>
    </w:rPr>
  </w:style>
  <w:style w:type="paragraph" w:styleId="6">
    <w:name w:val="Body Text Indent"/>
    <w:basedOn w:val="1"/>
    <w:semiHidden/>
    <w:unhideWhenUsed/>
    <w:qFormat/>
    <w:uiPriority w:val="99"/>
    <w:pPr>
      <w:spacing w:after="120"/>
      <w:ind w:left="420" w:leftChars="200"/>
    </w:pPr>
  </w:style>
  <w:style w:type="paragraph" w:styleId="7">
    <w:name w:val="footer"/>
    <w:basedOn w:val="1"/>
    <w:qFormat/>
    <w:uiPriority w:val="99"/>
    <w:pPr>
      <w:tabs>
        <w:tab w:val="center" w:pos="4153"/>
        <w:tab w:val="right" w:pos="8306"/>
      </w:tabs>
      <w:snapToGrid w:val="0"/>
      <w:jc w:val="left"/>
    </w:pPr>
    <w:rPr>
      <w:sz w:val="18"/>
    </w:rPr>
  </w:style>
  <w:style w:type="paragraph" w:styleId="8">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11">
    <w:name w:val="Strong"/>
    <w:basedOn w:val="10"/>
    <w:qFormat/>
    <w:uiPriority w:val="0"/>
    <w:rPr>
      <w:b/>
    </w:rPr>
  </w:style>
  <w:style w:type="character" w:customStyle="1" w:styleId="12">
    <w:name w:val="15"/>
    <w:basedOn w:val="10"/>
    <w:qFormat/>
    <w:uiPriority w:val="0"/>
    <w:rPr>
      <w:rFonts w:hint="default" w:ascii="Times New Roman" w:hAnsi="Times New Roman" w:eastAsia="宋体" w:cs="Times New Roman"/>
      <w:kern w:val="2"/>
      <w:sz w:val="21"/>
      <w:szCs w:val="21"/>
    </w:rPr>
  </w:style>
  <w:style w:type="character" w:customStyle="1" w:styleId="13">
    <w:name w:val="NormalCharacter"/>
    <w:semiHidden/>
    <w:qFormat/>
    <w:uiPriority w:val="0"/>
    <w:rPr>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8782</Words>
  <Characters>9415</Characters>
  <Lines>1</Lines>
  <Paragraphs>1</Paragraphs>
  <TotalTime>37</TotalTime>
  <ScaleCrop>false</ScaleCrop>
  <LinksUpToDate>false</LinksUpToDate>
  <CharactersWithSpaces>9463</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2008-09-12T17:20:00Z</dcterms:created>
  <dc:creator>Administrator</dc:creator>
  <cp:lastModifiedBy>～萨如拉</cp:lastModifiedBy>
  <cp:lastPrinted>2023-02-01T23:55:00Z</cp:lastPrinted>
  <dcterms:modified xsi:type="dcterms:W3CDTF">2025-06-16T08:30:02Z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ACDA1C0228C74A648FD928BF0A47AAFE_13</vt:lpwstr>
  </property>
  <property fmtid="{D5CDD505-2E9C-101B-9397-08002B2CF9AE}" pid="4" name="KSOTemplateDocerSaveRecord">
    <vt:lpwstr>eyJoZGlkIjoiOTg3OWI0ZjRlNDNlNmI5ZGI3ZmE3NDQ2YmQ3NmEzOTciLCJ1c2VySWQiOiI0NDAyMTY3NDcifQ==</vt:lpwstr>
  </property>
</Properties>
</file>